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ordWrap/>
        <w:topLinePunct w:val="0"/>
        <w:bidi w:val="0"/>
        <w:spacing w:line="460" w:lineRule="exact"/>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附件：</w:t>
      </w:r>
    </w:p>
    <w:p>
      <w:pPr>
        <w:pageBreakBefore w:val="0"/>
        <w:wordWrap/>
        <w:topLinePunct w:val="0"/>
        <w:bidi w:val="0"/>
        <w:adjustRightInd w:val="0"/>
        <w:snapToGrid w:val="0"/>
        <w:spacing w:line="460" w:lineRule="exact"/>
        <w:ind w:firstLine="720" w:firstLineChars="200"/>
        <w:jc w:val="center"/>
        <w:textAlignment w:val="auto"/>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6"/>
          <w:szCs w:val="36"/>
          <w:lang w:eastAsia="zh-CN"/>
        </w:rPr>
        <w:t>辐射防护服的采购需求</w:t>
      </w:r>
    </w:p>
    <w:p>
      <w:pPr>
        <w:pStyle w:val="3"/>
        <w:pageBreakBefore w:val="0"/>
        <w:numPr>
          <w:ilvl w:val="0"/>
          <w:numId w:val="0"/>
        </w:numPr>
        <w:wordWrap/>
        <w:topLinePunct w:val="0"/>
        <w:bidi w:val="0"/>
        <w:spacing w:before="0" w:after="0" w:line="460" w:lineRule="exact"/>
        <w:ind w:firstLine="560" w:firstLineChars="200"/>
        <w:jc w:val="both"/>
        <w:textAlignment w:val="auto"/>
        <w:rPr>
          <w:rFonts w:hint="eastAsia" w:asciiTheme="minorEastAsia" w:hAnsiTheme="minorEastAsia" w:eastAsiaTheme="minorEastAsia"/>
          <w:sz w:val="22"/>
          <w:szCs w:val="22"/>
        </w:rPr>
      </w:pPr>
      <w:bookmarkStart w:id="0" w:name="_Toc239067551"/>
      <w:r>
        <w:rPr>
          <w:rFonts w:hint="eastAsia" w:ascii="黑体" w:hAnsi="黑体" w:eastAsia="黑体"/>
          <w:b w:val="0"/>
          <w:bCs w:val="0"/>
          <w:sz w:val="28"/>
          <w:lang w:val="en-US" w:eastAsia="zh-CN"/>
        </w:rPr>
        <w:t>一、</w:t>
      </w:r>
      <w:r>
        <w:rPr>
          <w:rFonts w:hint="eastAsia" w:ascii="黑体" w:hAnsi="黑体" w:eastAsia="黑体"/>
          <w:b w:val="0"/>
          <w:bCs w:val="0"/>
          <w:sz w:val="28"/>
          <w:lang w:eastAsia="zh-CN"/>
        </w:rPr>
        <w:t>主要用途</w:t>
      </w:r>
    </w:p>
    <w:p>
      <w:pPr>
        <w:pageBreakBefore w:val="0"/>
        <w:numPr>
          <w:ilvl w:val="0"/>
          <w:numId w:val="0"/>
        </w:numPr>
        <w:wordWrap/>
        <w:topLinePunct w:val="0"/>
        <w:bidi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1.1全封闭防护服（2套）</w:t>
      </w:r>
    </w:p>
    <w:p>
      <w:pPr>
        <w:keepNext w:val="0"/>
        <w:keepLines w:val="0"/>
        <w:pageBreakBefore w:val="0"/>
        <w:widowControl/>
        <w:numPr>
          <w:ilvl w:val="0"/>
          <w:numId w:val="0"/>
        </w:numPr>
        <w:kinsoku/>
        <w:wordWrap/>
        <w:overflowPunct/>
        <w:topLinePunct w:val="0"/>
        <w:autoSpaceDE/>
        <w:autoSpaceDN/>
        <w:bidi w:val="0"/>
        <w:adjustRightInd/>
        <w:snapToGrid/>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用于清理小活度放射废源、核应急等涉及放射性物质的场所中作业人员对核辐射、化学物质、核气溶胶的身体防护；用于可对从低到中等能量的γ辐射、X线、高和低能β粒子和α粒提供屏蔽，保护射线环境下工作人员的健康。</w:t>
      </w:r>
    </w:p>
    <w:p>
      <w:pPr>
        <w:pageBreakBefore w:val="0"/>
        <w:numPr>
          <w:ilvl w:val="0"/>
          <w:numId w:val="0"/>
        </w:numPr>
        <w:wordWrap/>
        <w:topLinePunct w:val="0"/>
        <w:bidi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1.2防护背心（2件）</w:t>
      </w:r>
    </w:p>
    <w:p>
      <w:pPr>
        <w:keepNext w:val="0"/>
        <w:keepLines w:val="0"/>
        <w:pageBreakBefore w:val="0"/>
        <w:widowControl/>
        <w:numPr>
          <w:ilvl w:val="0"/>
          <w:numId w:val="0"/>
        </w:numPr>
        <w:kinsoku/>
        <w:wordWrap/>
        <w:overflowPunct/>
        <w:topLinePunct w:val="0"/>
        <w:autoSpaceDE/>
        <w:autoSpaceDN/>
        <w:bidi w:val="0"/>
        <w:adjustRightInd/>
        <w:snapToGrid/>
        <w:spacing w:line="460" w:lineRule="exact"/>
        <w:ind w:leftChars="0" w:firstLine="560" w:firstLineChars="200"/>
        <w:textAlignment w:val="auto"/>
        <w:rPr>
          <w:rFonts w:hint="eastAsia"/>
          <w:lang w:val="en-US" w:eastAsia="zh-CN"/>
        </w:rPr>
      </w:pPr>
      <w:r>
        <w:rPr>
          <w:rFonts w:hint="eastAsia" w:ascii="仿宋_GB2312" w:hAnsi="仿宋_GB2312" w:eastAsia="仿宋_GB2312" w:cs="仿宋_GB2312"/>
          <w:b w:val="0"/>
          <w:bCs w:val="0"/>
          <w:color w:val="auto"/>
          <w:sz w:val="28"/>
          <w:szCs w:val="28"/>
          <w:lang w:val="en-US" w:eastAsia="zh-CN" w:bidi="ar-SA"/>
        </w:rPr>
        <w:t>突发公共事件核与辐射事故现场的个人防护装备，场景包括且不限于核生化事故处置，核与辐射紧急事件处理，辐射环境检测等领域。</w:t>
      </w:r>
    </w:p>
    <w:p>
      <w:pPr>
        <w:pStyle w:val="3"/>
        <w:pageBreakBefore w:val="0"/>
        <w:numPr>
          <w:ilvl w:val="0"/>
          <w:numId w:val="0"/>
        </w:numPr>
        <w:wordWrap/>
        <w:topLinePunct w:val="0"/>
        <w:bidi w:val="0"/>
        <w:spacing w:before="0" w:after="0" w:line="460" w:lineRule="exact"/>
        <w:ind w:firstLine="560" w:firstLineChars="200"/>
        <w:jc w:val="both"/>
        <w:textAlignment w:val="auto"/>
        <w:rPr>
          <w:rFonts w:hint="eastAsia" w:ascii="黑体" w:hAnsi="黑体" w:eastAsia="黑体"/>
          <w:b w:val="0"/>
          <w:bCs w:val="0"/>
          <w:sz w:val="28"/>
          <w:lang w:eastAsia="zh-CN"/>
        </w:rPr>
      </w:pPr>
      <w:r>
        <w:rPr>
          <w:rFonts w:hint="eastAsia" w:ascii="黑体" w:hAnsi="黑体" w:eastAsia="黑体"/>
          <w:b w:val="0"/>
          <w:bCs w:val="0"/>
          <w:sz w:val="28"/>
          <w:lang w:val="en-US" w:eastAsia="zh-CN"/>
        </w:rPr>
        <w:t>二、</w:t>
      </w:r>
      <w:r>
        <w:rPr>
          <w:rFonts w:hint="eastAsia" w:ascii="黑体" w:hAnsi="黑体" w:eastAsia="黑体"/>
          <w:b w:val="0"/>
          <w:bCs w:val="0"/>
          <w:sz w:val="28"/>
          <w:lang w:eastAsia="zh-CN"/>
        </w:rPr>
        <w:t>技术参数</w:t>
      </w:r>
    </w:p>
    <w:p>
      <w:pPr>
        <w:pageBreakBefore w:val="0"/>
        <w:numPr>
          <w:ilvl w:val="0"/>
          <w:numId w:val="8"/>
        </w:numPr>
        <w:wordWrap/>
        <w:topLinePunct w:val="0"/>
        <w:bidi w:val="0"/>
        <w:spacing w:line="460" w:lineRule="exact"/>
        <w:ind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全封闭防护服</w:t>
      </w:r>
    </w:p>
    <w:p>
      <w:pPr>
        <w:pageBreakBefore w:val="0"/>
        <w:numPr>
          <w:ilvl w:val="0"/>
          <w:numId w:val="0"/>
        </w:numPr>
        <w:wordWrap/>
        <w:topLinePunct w:val="0"/>
        <w:bidi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1.1配置：</w:t>
      </w:r>
    </w:p>
    <w:p>
      <w:pPr>
        <w:pageBreakBefore w:val="0"/>
        <w:numPr>
          <w:ilvl w:val="0"/>
          <w:numId w:val="0"/>
        </w:numPr>
        <w:wordWrap/>
        <w:topLinePunct w:val="0"/>
        <w:bidi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防护服、面罩、活性炭呼吸器、防护靴、防护手套、密封带50米、便携背包、使用维护说明书</w:t>
      </w:r>
    </w:p>
    <w:p>
      <w:pPr>
        <w:pageBreakBefore w:val="0"/>
        <w:numPr>
          <w:ilvl w:val="0"/>
          <w:numId w:val="0"/>
        </w:numPr>
        <w:wordWrap/>
        <w:topLinePunct w:val="0"/>
        <w:bidi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1.2技术参数：</w:t>
      </w:r>
    </w:p>
    <w:p>
      <w:pPr>
        <w:pageBreakBefore w:val="0"/>
        <w:numPr>
          <w:ilvl w:val="0"/>
          <w:numId w:val="0"/>
        </w:numPr>
        <w:wordWrap/>
        <w:topLinePunct w:val="0"/>
        <w:bidi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highlight w:val="none"/>
          <w:lang w:val="en-US" w:eastAsia="zh-CN" w:bidi="ar-SA"/>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bidi="ar-SA"/>
        </w:rPr>
        <w:t>1.2.1用料材质：钽材料，无毒、无致敏和无剌激，具有更好的散热性；</w:t>
      </w:r>
    </w:p>
    <w:p>
      <w:pPr>
        <w:pStyle w:val="153"/>
        <w:pageBreakBefore w:val="0"/>
        <w:numPr>
          <w:ilvl w:val="0"/>
          <w:numId w:val="0"/>
        </w:numPr>
        <w:wordWrap/>
        <w:topLinePunct w:val="0"/>
        <w:bidi w:val="0"/>
        <w:snapToGrid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b w:val="0"/>
          <w:bCs w:val="0"/>
          <w:color w:val="auto"/>
          <w:sz w:val="28"/>
          <w:szCs w:val="28"/>
          <w:lang w:val="en-US" w:eastAsia="zh-CN" w:bidi="ar-SA"/>
        </w:rPr>
        <w:t>1.2.2胸、腹、裆采用双层材料，对 152Eu的γ射线防护效率不小于49%；</w:t>
      </w:r>
    </w:p>
    <w:p>
      <w:pPr>
        <w:pStyle w:val="153"/>
        <w:pageBreakBefore w:val="0"/>
        <w:numPr>
          <w:ilvl w:val="0"/>
          <w:numId w:val="0"/>
        </w:numPr>
        <w:wordWrap/>
        <w:topLinePunct w:val="0"/>
        <w:bidi w:val="0"/>
        <w:snapToGrid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b w:val="0"/>
          <w:bCs w:val="0"/>
          <w:color w:val="auto"/>
          <w:sz w:val="28"/>
          <w:szCs w:val="28"/>
          <w:lang w:val="en-US" w:eastAsia="zh-CN" w:bidi="ar-SA"/>
        </w:rPr>
        <w:t>1.2.3四肢、背部采用单层材料，防护效率不低于 30%；</w:t>
      </w:r>
    </w:p>
    <w:p>
      <w:pPr>
        <w:pStyle w:val="153"/>
        <w:pageBreakBefore w:val="0"/>
        <w:numPr>
          <w:ilvl w:val="0"/>
          <w:numId w:val="0"/>
        </w:numPr>
        <w:wordWrap/>
        <w:topLinePunct w:val="0"/>
        <w:bidi w:val="0"/>
        <w:snapToGrid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b w:val="0"/>
          <w:bCs w:val="0"/>
          <w:color w:val="auto"/>
          <w:sz w:val="28"/>
          <w:szCs w:val="28"/>
          <w:lang w:val="en-US" w:eastAsia="zh-CN" w:bidi="ar-SA"/>
        </w:rPr>
        <w:t>1.2.4断裂强度不小于 700N；撕破强度不小于 100N；</w:t>
      </w:r>
    </w:p>
    <w:p>
      <w:pPr>
        <w:pStyle w:val="153"/>
        <w:pageBreakBefore w:val="0"/>
        <w:numPr>
          <w:ilvl w:val="0"/>
          <w:numId w:val="0"/>
        </w:numPr>
        <w:wordWrap/>
        <w:topLinePunct w:val="0"/>
        <w:bidi w:val="0"/>
        <w:snapToGrid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1.2.5躯干防护服采用一体式设计，无毒无刺激；</w:t>
      </w:r>
    </w:p>
    <w:p>
      <w:pPr>
        <w:pStyle w:val="153"/>
        <w:pageBreakBefore w:val="0"/>
        <w:numPr>
          <w:ilvl w:val="0"/>
          <w:numId w:val="0"/>
        </w:numPr>
        <w:wordWrap/>
        <w:topLinePunct w:val="0"/>
        <w:bidi w:val="0"/>
        <w:snapToGrid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1.2.6工作温度：</w:t>
      </w:r>
      <w:r>
        <w:rPr>
          <w:rFonts w:hint="default" w:ascii="仿宋_GB2312" w:hAnsi="仿宋_GB2312" w:eastAsia="仿宋_GB2312" w:cs="仿宋_GB2312"/>
          <w:b w:val="0"/>
          <w:bCs w:val="0"/>
          <w:color w:val="auto"/>
          <w:sz w:val="28"/>
          <w:szCs w:val="28"/>
          <w:lang w:val="en-US" w:eastAsia="zh-CN" w:bidi="ar-SA"/>
        </w:rPr>
        <w:t>-30℃</w:t>
      </w:r>
      <w:r>
        <w:rPr>
          <w:rFonts w:hint="eastAsia" w:ascii="仿宋_GB2312" w:hAnsi="仿宋_GB2312" w:eastAsia="仿宋_GB2312" w:cs="仿宋_GB2312"/>
          <w:b w:val="0"/>
          <w:bCs w:val="0"/>
          <w:color w:val="auto"/>
          <w:sz w:val="28"/>
          <w:szCs w:val="28"/>
          <w:lang w:val="en-US" w:eastAsia="zh-CN" w:bidi="ar-SA"/>
        </w:rPr>
        <w:t>～</w:t>
      </w:r>
      <w:r>
        <w:rPr>
          <w:rFonts w:hint="default" w:ascii="仿宋_GB2312" w:hAnsi="仿宋_GB2312" w:eastAsia="仿宋_GB2312" w:cs="仿宋_GB2312"/>
          <w:b w:val="0"/>
          <w:bCs w:val="0"/>
          <w:color w:val="auto"/>
          <w:sz w:val="28"/>
          <w:szCs w:val="28"/>
          <w:lang w:val="en-US" w:eastAsia="zh-CN" w:bidi="ar-SA"/>
        </w:rPr>
        <w:t>70℃</w:t>
      </w:r>
      <w:r>
        <w:rPr>
          <w:rFonts w:hint="eastAsia" w:ascii="仿宋_GB2312" w:hAnsi="仿宋_GB2312" w:eastAsia="仿宋_GB2312" w:cs="仿宋_GB2312"/>
          <w:b w:val="0"/>
          <w:bCs w:val="0"/>
          <w:color w:val="auto"/>
          <w:sz w:val="28"/>
          <w:szCs w:val="28"/>
          <w:lang w:val="en-US" w:eastAsia="zh-CN" w:bidi="ar-SA"/>
        </w:rPr>
        <w:t xml:space="preserve">； </w:t>
      </w:r>
    </w:p>
    <w:p>
      <w:pPr>
        <w:pStyle w:val="153"/>
        <w:pageBreakBefore w:val="0"/>
        <w:numPr>
          <w:ilvl w:val="0"/>
          <w:numId w:val="0"/>
        </w:numPr>
        <w:wordWrap/>
        <w:topLinePunct w:val="0"/>
        <w:bidi w:val="0"/>
        <w:snapToGrid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1.2.7相对湿度：</w:t>
      </w:r>
      <w:r>
        <w:rPr>
          <w:rFonts w:hint="default" w:ascii="仿宋_GB2312" w:hAnsi="仿宋_GB2312" w:eastAsia="仿宋_GB2312" w:cs="仿宋_GB2312"/>
          <w:b w:val="0"/>
          <w:bCs w:val="0"/>
          <w:color w:val="auto"/>
          <w:sz w:val="28"/>
          <w:szCs w:val="28"/>
          <w:lang w:val="en-US" w:eastAsia="zh-CN" w:bidi="ar-SA"/>
        </w:rPr>
        <w:t>0%</w:t>
      </w:r>
      <w:r>
        <w:rPr>
          <w:rFonts w:hint="eastAsia" w:ascii="仿宋_GB2312" w:hAnsi="仿宋_GB2312" w:eastAsia="仿宋_GB2312" w:cs="仿宋_GB2312"/>
          <w:b w:val="0"/>
          <w:bCs w:val="0"/>
          <w:color w:val="auto"/>
          <w:sz w:val="28"/>
          <w:szCs w:val="28"/>
          <w:lang w:val="en-US" w:eastAsia="zh-CN" w:bidi="ar-SA"/>
        </w:rPr>
        <w:t>～</w:t>
      </w:r>
      <w:r>
        <w:rPr>
          <w:rFonts w:hint="default" w:ascii="仿宋_GB2312" w:hAnsi="仿宋_GB2312" w:eastAsia="仿宋_GB2312" w:cs="仿宋_GB2312"/>
          <w:b w:val="0"/>
          <w:bCs w:val="0"/>
          <w:color w:val="auto"/>
          <w:sz w:val="28"/>
          <w:szCs w:val="28"/>
          <w:lang w:val="en-US" w:eastAsia="zh-CN" w:bidi="ar-SA"/>
        </w:rPr>
        <w:t>99%</w:t>
      </w:r>
      <w:r>
        <w:rPr>
          <w:rFonts w:hint="eastAsia" w:ascii="仿宋_GB2312" w:hAnsi="仿宋_GB2312" w:eastAsia="仿宋_GB2312" w:cs="仿宋_GB2312"/>
          <w:b w:val="0"/>
          <w:bCs w:val="0"/>
          <w:color w:val="auto"/>
          <w:sz w:val="28"/>
          <w:szCs w:val="28"/>
          <w:lang w:val="en-US" w:eastAsia="zh-CN" w:bidi="ar-SA"/>
        </w:rPr>
        <w:t xml:space="preserve">； </w:t>
      </w:r>
    </w:p>
    <w:p>
      <w:pPr>
        <w:pStyle w:val="153"/>
        <w:pageBreakBefore w:val="0"/>
        <w:numPr>
          <w:ilvl w:val="0"/>
          <w:numId w:val="0"/>
        </w:numPr>
        <w:wordWrap/>
        <w:topLinePunct w:val="0"/>
        <w:bidi w:val="0"/>
        <w:snapToGrid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1.2.8重量：衣服</w:t>
      </w:r>
      <w:r>
        <w:rPr>
          <w:rFonts w:hint="default" w:ascii="仿宋_GB2312" w:hAnsi="仿宋_GB2312" w:eastAsia="仿宋_GB2312" w:cs="仿宋_GB2312"/>
          <w:b w:val="0"/>
          <w:bCs w:val="0"/>
          <w:color w:val="auto"/>
          <w:sz w:val="28"/>
          <w:szCs w:val="28"/>
          <w:lang w:val="en-US" w:eastAsia="zh-CN" w:bidi="ar-SA"/>
        </w:rPr>
        <w:t>≤7kg</w:t>
      </w:r>
      <w:r>
        <w:rPr>
          <w:rFonts w:hint="eastAsia" w:ascii="仿宋_GB2312" w:hAnsi="仿宋_GB2312" w:eastAsia="仿宋_GB2312" w:cs="仿宋_GB2312"/>
          <w:b w:val="0"/>
          <w:bCs w:val="0"/>
          <w:color w:val="auto"/>
          <w:sz w:val="28"/>
          <w:szCs w:val="28"/>
          <w:lang w:val="en-US" w:eastAsia="zh-CN" w:bidi="ar-SA"/>
        </w:rPr>
        <w:t>，一套（包含衣服、头罩、手套、靴子等）包装运输质量约</w:t>
      </w:r>
      <w:r>
        <w:rPr>
          <w:rFonts w:hint="default" w:ascii="仿宋_GB2312" w:hAnsi="仿宋_GB2312" w:eastAsia="仿宋_GB2312" w:cs="仿宋_GB2312"/>
          <w:b w:val="0"/>
          <w:bCs w:val="0"/>
          <w:color w:val="auto"/>
          <w:sz w:val="28"/>
          <w:szCs w:val="28"/>
          <w:lang w:val="en-US" w:eastAsia="zh-CN" w:bidi="ar-SA"/>
        </w:rPr>
        <w:t>10kg</w:t>
      </w:r>
      <w:r>
        <w:rPr>
          <w:rFonts w:hint="eastAsia" w:ascii="仿宋_GB2312" w:hAnsi="仿宋_GB2312" w:eastAsia="仿宋_GB2312" w:cs="仿宋_GB2312"/>
          <w:b w:val="0"/>
          <w:bCs w:val="0"/>
          <w:color w:val="auto"/>
          <w:sz w:val="28"/>
          <w:szCs w:val="28"/>
          <w:lang w:val="en-US" w:eastAsia="zh-CN" w:bidi="ar-SA"/>
        </w:rPr>
        <w:t>。</w:t>
      </w:r>
    </w:p>
    <w:p>
      <w:pPr>
        <w:pageBreakBefore w:val="0"/>
        <w:numPr>
          <w:ilvl w:val="0"/>
          <w:numId w:val="8"/>
        </w:numPr>
        <w:wordWrap/>
        <w:topLinePunct w:val="0"/>
        <w:bidi w:val="0"/>
        <w:spacing w:line="460" w:lineRule="exact"/>
        <w:ind w:left="425"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 xml:space="preserve">防护背心 </w:t>
      </w:r>
    </w:p>
    <w:p>
      <w:pPr>
        <w:pageBreakBefore w:val="0"/>
        <w:numPr>
          <w:ilvl w:val="0"/>
          <w:numId w:val="0"/>
        </w:numPr>
        <w:wordWrap/>
        <w:topLinePunct w:val="0"/>
        <w:bidi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lang w:val="en-US" w:eastAsia="zh-CN" w:bidi="ar-SA"/>
        </w:rPr>
      </w:pPr>
      <w:r>
        <w:rPr>
          <w:rFonts w:hint="eastAsia" w:ascii="仿宋_GB2312" w:hAnsi="仿宋_GB2312" w:eastAsia="仿宋_GB2312" w:cs="仿宋_GB2312"/>
          <w:b w:val="0"/>
          <w:bCs w:val="0"/>
          <w:color w:val="auto"/>
          <w:sz w:val="28"/>
          <w:szCs w:val="28"/>
          <w:lang w:val="en-US" w:eastAsia="zh-CN" w:bidi="ar-SA"/>
        </w:rPr>
        <w:t>2.1技术参数：</w:t>
      </w:r>
    </w:p>
    <w:p>
      <w:pPr>
        <w:pageBreakBefore w:val="0"/>
        <w:numPr>
          <w:ilvl w:val="0"/>
          <w:numId w:val="0"/>
        </w:numPr>
        <w:wordWrap/>
        <w:topLinePunct w:val="0"/>
        <w:bidi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highlight w:val="none"/>
          <w:lang w:val="en-US" w:eastAsia="zh-CN" w:bidi="ar-SA"/>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bidi="ar-SA"/>
        </w:rPr>
        <w:t>2.1.1用料材质：钽材料，无毒、无致敏和无剌激，具有更好的散热性；</w:t>
      </w:r>
    </w:p>
    <w:p>
      <w:pPr>
        <w:pageBreakBefore w:val="0"/>
        <w:numPr>
          <w:ilvl w:val="0"/>
          <w:numId w:val="0"/>
        </w:numPr>
        <w:wordWrap/>
        <w:topLinePunct w:val="0"/>
        <w:bidi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highlight w:val="none"/>
          <w:lang w:val="en-US" w:eastAsia="zh-CN" w:bidi="ar-SA"/>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bidi="ar-SA"/>
        </w:rPr>
        <w:t>2.1.2部位(胸、腹、)对130keV（或等效）的γ射线防护效率不小于80%；</w:t>
      </w:r>
    </w:p>
    <w:p>
      <w:pPr>
        <w:pStyle w:val="153"/>
        <w:pageBreakBefore w:val="0"/>
        <w:numPr>
          <w:ilvl w:val="0"/>
          <w:numId w:val="0"/>
        </w:numPr>
        <w:wordWrap/>
        <w:topLinePunct w:val="0"/>
        <w:bidi w:val="0"/>
        <w:snapToGrid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highlight w:val="none"/>
          <w:lang w:val="en-US" w:eastAsia="zh-CN" w:bidi="ar-SA"/>
        </w:rPr>
      </w:pPr>
      <w:r>
        <w:rPr>
          <w:rFonts w:hint="eastAsia" w:ascii="仿宋_GB2312" w:hAnsi="仿宋_GB2312" w:eastAsia="仿宋_GB2312" w:cs="仿宋_GB2312"/>
          <w:b w:val="0"/>
          <w:bCs w:val="0"/>
          <w:color w:val="auto"/>
          <w:sz w:val="28"/>
          <w:szCs w:val="28"/>
          <w:highlight w:val="none"/>
          <w:lang w:val="en-US" w:eastAsia="zh-CN" w:bidi="ar-SA"/>
        </w:rPr>
        <w:t>2.1.3重量：衣服</w:t>
      </w:r>
      <w:r>
        <w:rPr>
          <w:rFonts w:hint="default" w:ascii="仿宋_GB2312" w:hAnsi="仿宋_GB2312" w:eastAsia="仿宋_GB2312" w:cs="仿宋_GB2312"/>
          <w:b w:val="0"/>
          <w:bCs w:val="0"/>
          <w:color w:val="auto"/>
          <w:sz w:val="28"/>
          <w:szCs w:val="28"/>
          <w:highlight w:val="none"/>
          <w:lang w:val="en-US" w:eastAsia="zh-CN" w:bidi="ar-SA"/>
        </w:rPr>
        <w:t>≤</w:t>
      </w:r>
      <w:r>
        <w:rPr>
          <w:rFonts w:hint="eastAsia" w:ascii="仿宋_GB2312" w:hAnsi="仿宋_GB2312" w:eastAsia="仿宋_GB2312" w:cs="仿宋_GB2312"/>
          <w:b w:val="0"/>
          <w:bCs w:val="0"/>
          <w:color w:val="auto"/>
          <w:sz w:val="28"/>
          <w:szCs w:val="28"/>
          <w:highlight w:val="none"/>
          <w:lang w:val="en-US" w:eastAsia="zh-CN" w:bidi="ar-SA"/>
        </w:rPr>
        <w:t>4</w:t>
      </w:r>
      <w:r>
        <w:rPr>
          <w:rFonts w:hint="default" w:ascii="仿宋_GB2312" w:hAnsi="仿宋_GB2312" w:eastAsia="仿宋_GB2312" w:cs="仿宋_GB2312"/>
          <w:b w:val="0"/>
          <w:bCs w:val="0"/>
          <w:color w:val="auto"/>
          <w:sz w:val="28"/>
          <w:szCs w:val="28"/>
          <w:highlight w:val="none"/>
          <w:lang w:val="en-US" w:eastAsia="zh-CN" w:bidi="ar-SA"/>
        </w:rPr>
        <w:t>kg</w:t>
      </w:r>
      <w:r>
        <w:rPr>
          <w:rFonts w:hint="eastAsia" w:ascii="仿宋_GB2312" w:hAnsi="仿宋_GB2312" w:eastAsia="仿宋_GB2312" w:cs="仿宋_GB2312"/>
          <w:b w:val="0"/>
          <w:bCs w:val="0"/>
          <w:color w:val="auto"/>
          <w:sz w:val="28"/>
          <w:szCs w:val="28"/>
          <w:highlight w:val="none"/>
          <w:lang w:val="en-US" w:eastAsia="zh-CN" w:bidi="ar-SA"/>
        </w:rPr>
        <w:t>。</w:t>
      </w:r>
    </w:p>
    <w:p>
      <w:pPr>
        <w:pageBreakBefore w:val="0"/>
        <w:numPr>
          <w:ilvl w:val="0"/>
          <w:numId w:val="0"/>
        </w:numPr>
        <w:wordWrap/>
        <w:topLinePunct w:val="0"/>
        <w:bidi w:val="0"/>
        <w:spacing w:line="460" w:lineRule="exact"/>
        <w:ind w:leftChars="0" w:firstLine="560" w:firstLineChars="200"/>
        <w:textAlignment w:val="auto"/>
        <w:rPr>
          <w:rFonts w:hint="eastAsia" w:ascii="仿宋_GB2312" w:hAnsi="仿宋_GB2312" w:eastAsia="仿宋_GB2312" w:cs="仿宋_GB2312"/>
          <w:b w:val="0"/>
          <w:bCs w:val="0"/>
          <w:color w:val="auto"/>
          <w:sz w:val="28"/>
          <w:szCs w:val="28"/>
          <w:highlight w:val="none"/>
          <w:lang w:val="en-US" w:eastAsia="zh-CN" w:bidi="ar-SA"/>
        </w:rPr>
      </w:pPr>
      <w:r>
        <w:rPr>
          <w:rFonts w:hint="eastAsia" w:ascii="仿宋_GB2312" w:hAnsi="仿宋_GB2312" w:eastAsia="仿宋_GB2312" w:cs="仿宋_GB2312"/>
          <w:b w:val="0"/>
          <w:bCs w:val="0"/>
          <w:color w:val="auto"/>
          <w:sz w:val="28"/>
          <w:szCs w:val="28"/>
          <w:highlight w:val="none"/>
          <w:lang w:val="en-US" w:eastAsia="zh-CN" w:bidi="ar-SA"/>
        </w:rPr>
        <w:t>2.1.4能够使用中性洗消剂简易去除洗消。</w:t>
      </w:r>
    </w:p>
    <w:p>
      <w:pPr>
        <w:pStyle w:val="3"/>
        <w:pageBreakBefore w:val="0"/>
        <w:wordWrap/>
        <w:topLinePunct w:val="0"/>
        <w:bidi w:val="0"/>
        <w:spacing w:before="0" w:after="0" w:line="460" w:lineRule="exact"/>
        <w:ind w:firstLine="560" w:firstLineChars="200"/>
        <w:textAlignment w:val="auto"/>
        <w:rPr>
          <w:rFonts w:hint="eastAsia" w:ascii="黑体" w:hAnsi="黑体" w:eastAsia="黑体"/>
          <w:b w:val="0"/>
          <w:bCs w:val="0"/>
          <w:sz w:val="28"/>
          <w:lang w:eastAsia="zh-CN"/>
        </w:rPr>
      </w:pPr>
      <w:r>
        <w:rPr>
          <w:rFonts w:hint="eastAsia" w:ascii="黑体" w:hAnsi="黑体" w:eastAsia="黑体"/>
          <w:b w:val="0"/>
          <w:bCs w:val="0"/>
          <w:sz w:val="28"/>
          <w:lang w:eastAsia="zh-CN"/>
        </w:rPr>
        <w:t>三、售后服务</w:t>
      </w:r>
    </w:p>
    <w:p>
      <w:pPr>
        <w:pageBreakBefore w:val="0"/>
        <w:widowControl w:val="0"/>
        <w:wordWrap/>
        <w:topLinePunct w:val="0"/>
        <w:bidi w:val="0"/>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1供货期限：合同签订后</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lang w:eastAsia="zh-CN"/>
        </w:rPr>
        <w:t>天。</w:t>
      </w:r>
    </w:p>
    <w:p>
      <w:pPr>
        <w:pageBreakBefore w:val="0"/>
        <w:widowControl w:val="0"/>
        <w:wordWrap/>
        <w:topLinePunct w:val="0"/>
        <w:bidi w:val="0"/>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2质保期限：货物质保期一年，验收通过之日起算。</w:t>
      </w:r>
    </w:p>
    <w:p>
      <w:pPr>
        <w:pageBreakBefore w:val="0"/>
        <w:widowControl w:val="0"/>
        <w:wordWrap/>
        <w:topLinePunct w:val="0"/>
        <w:bidi w:val="0"/>
        <w:spacing w:line="460" w:lineRule="exact"/>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val="en-US" w:eastAsia="zh-CN"/>
        </w:rPr>
        <w:t>四</w:t>
      </w:r>
      <w:r>
        <w:rPr>
          <w:rFonts w:hint="eastAsia" w:ascii="黑体" w:hAnsi="黑体" w:eastAsia="黑体" w:cs="黑体"/>
          <w:sz w:val="28"/>
          <w:szCs w:val="28"/>
          <w:lang w:eastAsia="zh-CN"/>
        </w:rPr>
        <w:t>、其他须知事项</w:t>
      </w:r>
    </w:p>
    <w:p>
      <w:pPr>
        <w:pageBreakBefore w:val="0"/>
        <w:widowControl w:val="0"/>
        <w:wordWrap/>
        <w:topLinePunct w:val="0"/>
        <w:bidi w:val="0"/>
        <w:spacing w:line="460" w:lineRule="exact"/>
        <w:ind w:firstLine="560" w:firstLineChars="200"/>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异常低价的甄别</w:t>
      </w:r>
    </w:p>
    <w:p>
      <w:pPr>
        <w:pageBreakBefore w:val="0"/>
        <w:widowControl w:val="0"/>
        <w:wordWrap/>
        <w:topLinePunct w:val="0"/>
        <w:bidi w:val="0"/>
        <w:spacing w:line="460" w:lineRule="exact"/>
        <w:ind w:firstLine="560" w:firstLineChars="200"/>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投标（响应）报价出现下列情形之一的，甲方应当启动异常低价投标（响应）审查程序：</w:t>
      </w:r>
    </w:p>
    <w:p>
      <w:pPr>
        <w:pageBreakBefore w:val="0"/>
        <w:widowControl w:val="0"/>
        <w:wordWrap/>
        <w:topLinePunct w:val="0"/>
        <w:bidi w:val="0"/>
        <w:spacing w:line="460" w:lineRule="exact"/>
        <w:ind w:firstLine="560" w:firstLineChars="200"/>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①投标（响应）报价低于全部通过符合性审查供应商投标（响应）报价平均值</w:t>
      </w:r>
      <w:r>
        <w:rPr>
          <w:rFonts w:hint="eastAsia" w:ascii="仿宋_GB2312" w:hAnsi="仿宋_GB2312" w:eastAsia="仿宋_GB2312" w:cs="仿宋_GB2312"/>
          <w:b w:val="0"/>
          <w:bCs w:val="0"/>
          <w:i w:val="0"/>
          <w:iCs w:val="0"/>
          <w:caps w:val="0"/>
          <w:color w:val="0F1115"/>
          <w:spacing w:val="0"/>
          <w:sz w:val="28"/>
          <w:szCs w:val="28"/>
          <w:highlight w:val="none"/>
          <w:shd w:val="clear" w:color="auto" w:fill="FFFFFF"/>
          <w:lang w:val="en-US" w:eastAsia="zh-CN"/>
        </w:rPr>
        <w:t>50%</w:t>
      </w:r>
      <w:r>
        <w:rPr>
          <w:rFonts w:hint="eastAsia" w:ascii="仿宋_GB2312" w:hAnsi="仿宋_GB2312" w:eastAsia="仿宋_GB2312" w:cs="仿宋_GB2312"/>
          <w:sz w:val="28"/>
          <w:szCs w:val="28"/>
          <w:highlight w:val="none"/>
          <w:lang w:eastAsia="zh-CN"/>
        </w:rPr>
        <w:t>的，即投标（响应）报价&lt;全部通过符合性审查供应商投标（响应）报价平均值×</w:t>
      </w:r>
      <w:r>
        <w:rPr>
          <w:rFonts w:hint="eastAsia" w:ascii="仿宋_GB2312" w:hAnsi="仿宋_GB2312" w:eastAsia="仿宋_GB2312" w:cs="仿宋_GB2312"/>
          <w:b w:val="0"/>
          <w:bCs w:val="0"/>
          <w:i w:val="0"/>
          <w:iCs w:val="0"/>
          <w:caps w:val="0"/>
          <w:color w:val="0F1115"/>
          <w:spacing w:val="0"/>
          <w:sz w:val="28"/>
          <w:szCs w:val="28"/>
          <w:highlight w:val="none"/>
          <w:shd w:val="clear" w:color="auto" w:fill="FFFFFF"/>
          <w:lang w:val="en-US" w:eastAsia="zh-CN"/>
        </w:rPr>
        <w:t>50%</w:t>
      </w:r>
      <w:r>
        <w:rPr>
          <w:rFonts w:hint="eastAsia" w:ascii="仿宋_GB2312" w:hAnsi="仿宋_GB2312" w:eastAsia="仿宋_GB2312" w:cs="仿宋_GB2312"/>
          <w:sz w:val="28"/>
          <w:szCs w:val="28"/>
          <w:highlight w:val="none"/>
          <w:lang w:eastAsia="zh-CN"/>
        </w:rPr>
        <w:t>；</w:t>
      </w:r>
    </w:p>
    <w:p>
      <w:pPr>
        <w:pageBreakBefore w:val="0"/>
        <w:widowControl w:val="0"/>
        <w:wordWrap/>
        <w:topLinePunct w:val="0"/>
        <w:bidi w:val="0"/>
        <w:spacing w:line="460" w:lineRule="exact"/>
        <w:ind w:firstLine="560" w:firstLineChars="200"/>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②投标（响应）报价低于通过符合性审查的次低报价供应商投标（响应）报价</w:t>
      </w:r>
      <w:r>
        <w:rPr>
          <w:rFonts w:hint="eastAsia" w:ascii="仿宋_GB2312" w:hAnsi="仿宋_GB2312" w:eastAsia="仿宋_GB2312" w:cs="仿宋_GB2312"/>
          <w:b w:val="0"/>
          <w:bCs w:val="0"/>
          <w:i w:val="0"/>
          <w:iCs w:val="0"/>
          <w:caps w:val="0"/>
          <w:color w:val="0F1115"/>
          <w:spacing w:val="0"/>
          <w:sz w:val="28"/>
          <w:szCs w:val="28"/>
          <w:highlight w:val="none"/>
          <w:shd w:val="clear" w:color="auto" w:fill="FFFFFF"/>
          <w:lang w:val="en-US" w:eastAsia="zh-CN"/>
        </w:rPr>
        <w:t>50%</w:t>
      </w:r>
      <w:r>
        <w:rPr>
          <w:rFonts w:hint="eastAsia" w:ascii="仿宋_GB2312" w:hAnsi="仿宋_GB2312" w:eastAsia="仿宋_GB2312" w:cs="仿宋_GB2312"/>
          <w:sz w:val="28"/>
          <w:szCs w:val="28"/>
          <w:highlight w:val="none"/>
          <w:lang w:eastAsia="zh-CN"/>
        </w:rPr>
        <w:t>的，即投标（响应）报价&lt;通过符合性审查的次低报价供应商投标（响应）报价×</w:t>
      </w:r>
      <w:r>
        <w:rPr>
          <w:rFonts w:hint="eastAsia" w:ascii="仿宋_GB2312" w:hAnsi="仿宋_GB2312" w:eastAsia="仿宋_GB2312" w:cs="仿宋_GB2312"/>
          <w:b w:val="0"/>
          <w:bCs w:val="0"/>
          <w:i w:val="0"/>
          <w:iCs w:val="0"/>
          <w:caps w:val="0"/>
          <w:color w:val="0F1115"/>
          <w:spacing w:val="0"/>
          <w:sz w:val="28"/>
          <w:szCs w:val="28"/>
          <w:highlight w:val="none"/>
          <w:shd w:val="clear" w:color="auto" w:fill="FFFFFF"/>
          <w:lang w:val="en-US" w:eastAsia="zh-CN"/>
        </w:rPr>
        <w:t>50%</w:t>
      </w:r>
      <w:r>
        <w:rPr>
          <w:rFonts w:hint="eastAsia" w:ascii="仿宋_GB2312" w:hAnsi="仿宋_GB2312" w:eastAsia="仿宋_GB2312" w:cs="仿宋_GB2312"/>
          <w:sz w:val="28"/>
          <w:szCs w:val="28"/>
          <w:highlight w:val="none"/>
          <w:lang w:eastAsia="zh-CN"/>
        </w:rPr>
        <w:t>；</w:t>
      </w:r>
    </w:p>
    <w:p>
      <w:pPr>
        <w:pageBreakBefore w:val="0"/>
        <w:widowControl w:val="0"/>
        <w:wordWrap/>
        <w:topLinePunct w:val="0"/>
        <w:bidi w:val="0"/>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③投标（响应）报价低于采购项目最高限价45%的，即投标（响应）报价&lt;采购项目最高限价×45%；</w:t>
      </w:r>
    </w:p>
    <w:p>
      <w:pPr>
        <w:pageBreakBefore w:val="0"/>
        <w:widowControl w:val="0"/>
        <w:wordWrap/>
        <w:topLinePunct w:val="0"/>
        <w:bidi w:val="0"/>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④评审委员会基于专业判断，认为供应商报价过低，有可能影响产品质量或者不能诚信履约的其他情形。</w:t>
      </w:r>
    </w:p>
    <w:p>
      <w:pPr>
        <w:pageBreakBefore w:val="0"/>
        <w:widowControl w:val="0"/>
        <w:wordWrap/>
        <w:topLinePunct w:val="0"/>
        <w:bidi w:val="0"/>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甲方启动异常低价投标（响应）审查后，相关供应商自接到评标委员会的澄清要求后30分钟内对投标（响应）价格作出解释，并提供项目具体成本测算等与报价合理性相关的书面说明及必要的证明材料，包括但不限于原材料成本、人工成本、制造费用等。</w:t>
      </w:r>
    </w:p>
    <w:p>
      <w:pPr>
        <w:pStyle w:val="3"/>
        <w:pageBreakBefore w:val="0"/>
        <w:wordWrap/>
        <w:topLinePunct w:val="0"/>
        <w:bidi w:val="0"/>
        <w:spacing w:before="0" w:after="0" w:line="460" w:lineRule="exact"/>
        <w:ind w:firstLine="562" w:firstLineChars="200"/>
        <w:textAlignment w:val="auto"/>
        <w:rPr>
          <w:rFonts w:hint="eastAsia" w:ascii="黑体" w:hAnsi="黑体" w:eastAsia="黑体" w:cs="黑体"/>
          <w:b w:val="0"/>
          <w:bCs w:val="0"/>
          <w:sz w:val="28"/>
          <w:lang w:eastAsia="zh-CN"/>
        </w:rPr>
      </w:pPr>
      <w:r>
        <w:rPr>
          <w:rFonts w:hint="eastAsia" w:ascii="仿宋_GB2312" w:hAnsi="仿宋_GB2312" w:eastAsia="仿宋_GB2312" w:cs="仿宋_GB2312"/>
          <w:sz w:val="28"/>
          <w:lang w:eastAsia="zh-CN"/>
        </w:rPr>
        <w:t>甲方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ageBreakBefore w:val="0"/>
        <w:widowControl w:val="0"/>
        <w:wordWrap/>
        <w:topLinePunct w:val="0"/>
        <w:bidi w:val="0"/>
        <w:spacing w:line="460" w:lineRule="exact"/>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四、</w:t>
      </w:r>
      <w:bookmarkEnd w:id="0"/>
      <w:r>
        <w:rPr>
          <w:rFonts w:hint="eastAsia" w:ascii="黑体" w:hAnsi="黑体" w:eastAsia="黑体" w:cs="黑体"/>
          <w:sz w:val="28"/>
          <w:szCs w:val="28"/>
          <w:lang w:eastAsia="zh-CN"/>
        </w:rPr>
        <w:t>响应技术偏离表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1429"/>
        <w:gridCol w:w="1878"/>
        <w:gridCol w:w="1864"/>
        <w:gridCol w:w="1216"/>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2" w:firstLineChars="200"/>
              <w:textAlignment w:val="auto"/>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序号</w:t>
            </w:r>
          </w:p>
        </w:tc>
        <w:tc>
          <w:tcPr>
            <w:tcW w:w="1429"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2" w:firstLineChars="200"/>
              <w:textAlignment w:val="auto"/>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产品名称</w:t>
            </w:r>
          </w:p>
        </w:tc>
        <w:tc>
          <w:tcPr>
            <w:tcW w:w="1878"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2" w:firstLineChars="200"/>
              <w:textAlignment w:val="auto"/>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采购需求技术要求</w:t>
            </w:r>
          </w:p>
        </w:tc>
        <w:tc>
          <w:tcPr>
            <w:tcW w:w="1864"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2" w:firstLineChars="200"/>
              <w:textAlignment w:val="auto"/>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响应货物实际技术规格</w:t>
            </w:r>
          </w:p>
        </w:tc>
        <w:tc>
          <w:tcPr>
            <w:tcW w:w="1216"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2" w:firstLineChars="200"/>
              <w:textAlignment w:val="auto"/>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偏离情况</w:t>
            </w:r>
          </w:p>
        </w:tc>
        <w:tc>
          <w:tcPr>
            <w:tcW w:w="1311"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2" w:firstLineChars="200"/>
              <w:textAlignment w:val="auto"/>
              <w:rPr>
                <w:rFonts w:hint="eastAsia" w:ascii="仿宋_GB2312" w:hAnsi="仿宋_GB2312" w:eastAsia="仿宋_GB2312" w:cs="仿宋_GB2312"/>
                <w:b/>
                <w:bCs/>
                <w:szCs w:val="24"/>
                <w:lang w:eastAsia="zh-CN"/>
              </w:rPr>
            </w:pPr>
            <w:r>
              <w:rPr>
                <w:rFonts w:hint="eastAsia" w:ascii="仿宋_GB2312" w:hAnsi="仿宋_GB2312" w:eastAsia="仿宋_GB2312" w:cs="仿宋_GB2312"/>
                <w:b/>
                <w:bCs/>
                <w:szCs w:val="24"/>
                <w:lang w:eastAsia="zh-CN"/>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1</w:t>
            </w:r>
          </w:p>
        </w:tc>
        <w:tc>
          <w:tcPr>
            <w:tcW w:w="1429"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按采购需求清单填写</w:t>
            </w:r>
          </w:p>
        </w:tc>
        <w:tc>
          <w:tcPr>
            <w:tcW w:w="1878"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按采购需求文件中对应技术填写</w:t>
            </w:r>
          </w:p>
        </w:tc>
        <w:tc>
          <w:tcPr>
            <w:tcW w:w="1864"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按所投产品实际技术指标填写</w:t>
            </w:r>
          </w:p>
        </w:tc>
        <w:tc>
          <w:tcPr>
            <w:tcW w:w="1216"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正偏离或满足或负偏离</w:t>
            </w:r>
          </w:p>
        </w:tc>
        <w:tc>
          <w:tcPr>
            <w:tcW w:w="1311"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其他需补充说明情况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c>
          <w:tcPr>
            <w:tcW w:w="1429"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r>
              <w:rPr>
                <w:rFonts w:hint="eastAsia" w:ascii="仿宋_GB2312" w:hAnsi="仿宋_GB2312" w:eastAsia="仿宋_GB2312" w:cs="仿宋_GB2312"/>
                <w:szCs w:val="24"/>
                <w:lang w:eastAsia="zh-CN"/>
              </w:rPr>
              <w:t>...</w:t>
            </w:r>
          </w:p>
        </w:tc>
        <w:tc>
          <w:tcPr>
            <w:tcW w:w="1878"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c>
          <w:tcPr>
            <w:tcW w:w="1864"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c>
          <w:tcPr>
            <w:tcW w:w="1216"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c>
          <w:tcPr>
            <w:tcW w:w="1311"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c>
          <w:tcPr>
            <w:tcW w:w="1429"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c>
          <w:tcPr>
            <w:tcW w:w="1878"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c>
          <w:tcPr>
            <w:tcW w:w="1864"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c>
          <w:tcPr>
            <w:tcW w:w="1216"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c>
          <w:tcPr>
            <w:tcW w:w="1311" w:type="dxa"/>
            <w:tcBorders>
              <w:top w:val="single" w:color="auto" w:sz="4" w:space="0"/>
              <w:left w:val="single" w:color="auto" w:sz="4" w:space="0"/>
              <w:bottom w:val="single" w:color="auto" w:sz="4" w:space="0"/>
              <w:right w:val="single" w:color="auto" w:sz="4" w:space="0"/>
            </w:tcBorders>
          </w:tcPr>
          <w:p>
            <w:pPr>
              <w:pStyle w:val="27"/>
              <w:pageBreakBefore w:val="0"/>
              <w:widowControl w:val="0"/>
              <w:tabs>
                <w:tab w:val="center" w:pos="4140"/>
                <w:tab w:val="right" w:pos="8300"/>
                <w:tab w:val="clear" w:pos="4680"/>
                <w:tab w:val="clear" w:pos="9360"/>
              </w:tabs>
              <w:wordWrap/>
              <w:topLinePunct w:val="0"/>
              <w:bidi w:val="0"/>
              <w:snapToGrid w:val="0"/>
              <w:spacing w:line="460" w:lineRule="exact"/>
              <w:ind w:firstLine="480" w:firstLineChars="200"/>
              <w:textAlignment w:val="auto"/>
              <w:rPr>
                <w:rFonts w:hint="eastAsia" w:ascii="仿宋_GB2312" w:hAnsi="仿宋_GB2312" w:eastAsia="仿宋_GB2312" w:cs="仿宋_GB2312"/>
                <w:szCs w:val="24"/>
                <w:lang w:eastAsia="zh-CN"/>
              </w:rPr>
            </w:pPr>
          </w:p>
        </w:tc>
      </w:tr>
    </w:tbl>
    <w:p>
      <w:pPr>
        <w:pageBreakBefore w:val="0"/>
        <w:wordWrap/>
        <w:topLinePunct w:val="0"/>
        <w:bidi w:val="0"/>
        <w:spacing w:line="460" w:lineRule="exact"/>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br w:type="page"/>
      </w:r>
    </w:p>
    <w:p>
      <w:pPr>
        <w:pStyle w:val="3"/>
        <w:pageBreakBefore w:val="0"/>
        <w:wordWrap/>
        <w:topLinePunct w:val="0"/>
        <w:bidi w:val="0"/>
        <w:spacing w:before="0" w:after="0" w:line="460" w:lineRule="exact"/>
        <w:ind w:firstLine="560" w:firstLineChars="200"/>
        <w:textAlignment w:val="auto"/>
        <w:rPr>
          <w:rFonts w:hint="eastAsia" w:ascii="黑体" w:hAnsi="黑体" w:eastAsia="黑体" w:cs="黑体"/>
          <w:b w:val="0"/>
          <w:bCs w:val="0"/>
          <w:sz w:val="28"/>
          <w:lang w:eastAsia="zh-CN"/>
        </w:rPr>
      </w:pPr>
      <w:r>
        <w:rPr>
          <w:rFonts w:hint="eastAsia" w:ascii="黑体" w:hAnsi="黑体" w:eastAsia="黑体" w:cs="黑体"/>
          <w:b w:val="0"/>
          <w:bCs w:val="0"/>
          <w:sz w:val="28"/>
          <w:lang w:eastAsia="zh-CN"/>
        </w:rPr>
        <w:t>评分标准</w:t>
      </w:r>
    </w:p>
    <w:p>
      <w:pPr>
        <w:pageBreakBefore w:val="0"/>
        <w:wordWrap/>
        <w:topLinePunct w:val="0"/>
        <w:bidi w:val="0"/>
        <w:spacing w:line="460" w:lineRule="exact"/>
        <w:ind w:firstLine="480" w:firstLineChars="200"/>
        <w:textAlignment w:val="auto"/>
        <w:rPr>
          <w:lang w:eastAsia="zh-CN"/>
        </w:rPr>
      </w:pPr>
    </w:p>
    <w:tbl>
      <w:tblPr>
        <w:tblStyle w:val="40"/>
        <w:tblW w:w="50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208"/>
        <w:gridCol w:w="6404"/>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Cs w:val="24"/>
              </w:rPr>
            </w:pPr>
            <w:r>
              <w:rPr>
                <w:rFonts w:hint="eastAsia" w:ascii="仿宋_GB2312" w:hAnsi="仿宋_GB2312" w:eastAsia="仿宋_GB2312" w:cs="仿宋_GB2312"/>
                <w:szCs w:val="24"/>
              </w:rPr>
              <w:t>序号</w:t>
            </w:r>
          </w:p>
        </w:tc>
        <w:tc>
          <w:tcPr>
            <w:tcW w:w="64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Cs w:val="24"/>
              </w:rPr>
            </w:pPr>
            <w:r>
              <w:rPr>
                <w:rFonts w:hint="eastAsia" w:ascii="仿宋_GB2312" w:hAnsi="仿宋_GB2312" w:eastAsia="仿宋_GB2312" w:cs="仿宋_GB2312"/>
                <w:szCs w:val="24"/>
              </w:rPr>
              <w:t>评估要素</w:t>
            </w:r>
          </w:p>
        </w:tc>
        <w:tc>
          <w:tcPr>
            <w:tcW w:w="33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ind w:firstLine="480" w:firstLineChars="200"/>
              <w:jc w:val="center"/>
              <w:textAlignment w:val="auto"/>
              <w:rPr>
                <w:rFonts w:hint="eastAsia" w:ascii="仿宋_GB2312" w:hAnsi="仿宋_GB2312" w:eastAsia="仿宋_GB2312" w:cs="仿宋_GB2312"/>
                <w:szCs w:val="24"/>
              </w:rPr>
            </w:pPr>
            <w:r>
              <w:rPr>
                <w:rFonts w:hint="eastAsia" w:ascii="仿宋_GB2312" w:hAnsi="仿宋_GB2312" w:eastAsia="仿宋_GB2312" w:cs="仿宋_GB2312"/>
                <w:szCs w:val="24"/>
              </w:rPr>
              <w:t>主要评估内容</w:t>
            </w:r>
          </w:p>
        </w:tc>
        <w:tc>
          <w:tcPr>
            <w:tcW w:w="57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Cs w:val="24"/>
              </w:rPr>
            </w:pPr>
            <w:r>
              <w:rPr>
                <w:rFonts w:hint="eastAsia" w:ascii="仿宋_GB2312" w:hAnsi="仿宋_GB2312" w:eastAsia="仿宋_GB2312" w:cs="仿宋_GB2312"/>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napToGrid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640" w:type="pct"/>
            <w:tcBorders>
              <w:top w:val="single" w:color="auto" w:sz="4" w:space="0"/>
              <w:left w:val="single" w:color="auto" w:sz="4" w:space="0"/>
              <w:bottom w:val="single" w:color="auto" w:sz="4" w:space="0"/>
              <w:right w:val="single" w:color="auto" w:sz="4" w:space="0"/>
            </w:tcBorders>
            <w:vAlign w:val="center"/>
          </w:tcPr>
          <w:p>
            <w:pPr>
              <w:pStyle w:val="180"/>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报价得分</w:t>
            </w:r>
          </w:p>
        </w:tc>
        <w:tc>
          <w:tcPr>
            <w:tcW w:w="33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lef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报价得分。报价得分＝价格分值×（基准价/报价）</w:t>
            </w:r>
          </w:p>
        </w:tc>
        <w:tc>
          <w:tcPr>
            <w:tcW w:w="57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lang w:eastAsia="zh-CN"/>
              </w:rPr>
              <w:t>0</w:t>
            </w:r>
            <w:r>
              <w:rPr>
                <w:rFonts w:hint="eastAsia" w:ascii="仿宋_GB2312" w:hAnsi="仿宋_GB2312" w:eastAsia="仿宋_GB2312" w:cs="仿宋_GB231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napToGrid w:val="0"/>
              <w:spacing w:line="24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2</w:t>
            </w:r>
          </w:p>
        </w:tc>
        <w:tc>
          <w:tcPr>
            <w:tcW w:w="64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napToGrid w:val="0"/>
              <w:spacing w:line="24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类似业绩</w:t>
            </w:r>
          </w:p>
        </w:tc>
        <w:tc>
          <w:tcPr>
            <w:tcW w:w="33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napToGrid w:val="0"/>
              <w:spacing w:line="240" w:lineRule="exact"/>
              <w:jc w:val="lef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近三年类似项目业绩（合同或中标通知书原件扫描件，具体时间以合同签订日期或中标通知书落款日期为准，未注明日期或者不清楚则不予计取，不提供则不得分）每个合同得1分，最高得6分。</w:t>
            </w:r>
          </w:p>
        </w:tc>
        <w:tc>
          <w:tcPr>
            <w:tcW w:w="57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6</w:t>
            </w:r>
            <w:r>
              <w:rPr>
                <w:rFonts w:hint="eastAsia" w:ascii="仿宋_GB2312" w:hAnsi="仿宋_GB2312" w:eastAsia="仿宋_GB2312" w:cs="仿宋_GB231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napToGrid w:val="0"/>
              <w:spacing w:line="24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3</w:t>
            </w:r>
          </w:p>
        </w:tc>
        <w:tc>
          <w:tcPr>
            <w:tcW w:w="64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val="0"/>
              <w:topLinePunct w:val="0"/>
              <w:autoSpaceDE w:val="0"/>
              <w:autoSpaceDN w:val="0"/>
              <w:bidi w:val="0"/>
              <w:adjustRightInd w:val="0"/>
              <w:spacing w:line="24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对项目需求的理解</w:t>
            </w:r>
          </w:p>
        </w:tc>
        <w:tc>
          <w:tcPr>
            <w:tcW w:w="3393" w:type="pct"/>
            <w:tcBorders>
              <w:top w:val="single" w:color="auto" w:sz="4" w:space="0"/>
              <w:left w:val="single" w:color="auto" w:sz="4" w:space="0"/>
              <w:bottom w:val="single" w:color="auto" w:sz="4" w:space="0"/>
              <w:right w:val="single" w:color="auto" w:sz="4" w:space="0"/>
            </w:tcBorders>
            <w:vAlign w:val="center"/>
          </w:tcPr>
          <w:p>
            <w:pPr>
              <w:pStyle w:val="27"/>
              <w:keepNext w:val="0"/>
              <w:keepLines w:val="0"/>
              <w:pageBreakBefore w:val="0"/>
              <w:widowControl/>
              <w:tabs>
                <w:tab w:val="center" w:pos="4153"/>
                <w:tab w:val="right" w:pos="8306"/>
                <w:tab w:val="clear" w:pos="4680"/>
                <w:tab w:val="clear" w:pos="9360"/>
              </w:tabs>
              <w:wordWrap/>
              <w:topLinePunct w:val="0"/>
              <w:bidi w:val="0"/>
              <w:spacing w:line="240" w:lineRule="exact"/>
              <w:jc w:val="lef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根据报价方对于采购需求及项目实际情况的理解，对本采购项目需求的理解准确到位，对采购项目的特点、重点、难点有针对性的切实可行的解决方法，措施科学全面，得14-</w:t>
            </w:r>
            <w:r>
              <w:rPr>
                <w:rFonts w:hint="eastAsia" w:ascii="仿宋_GB2312" w:hAnsi="仿宋_GB2312" w:eastAsia="仿宋_GB2312" w:cs="仿宋_GB2312"/>
                <w:sz w:val="21"/>
                <w:szCs w:val="21"/>
                <w:lang w:val="en-US" w:eastAsia="zh-CN"/>
              </w:rPr>
              <w:t>18</w:t>
            </w:r>
            <w:r>
              <w:rPr>
                <w:rFonts w:hint="eastAsia" w:ascii="仿宋_GB2312" w:hAnsi="仿宋_GB2312" w:eastAsia="仿宋_GB2312" w:cs="仿宋_GB2312"/>
                <w:sz w:val="21"/>
                <w:szCs w:val="21"/>
                <w:lang w:eastAsia="zh-CN"/>
              </w:rPr>
              <w:t>分；对采购项目需求的理解基本准确，对采购项目的特点、重点、难点的解决办法有一定的针对性，措施基本合理，得7-13分；对采购项目需求不够理解，对需求的特点、重点、难点的解决方法无针对性，措施不具体，错误较多，得1-6分。</w:t>
            </w:r>
            <w:r>
              <w:rPr>
                <w:rFonts w:hint="eastAsia" w:ascii="仿宋_GB2312" w:hAnsi="仿宋_GB2312" w:eastAsia="仿宋_GB2312" w:cs="仿宋_GB2312"/>
                <w:sz w:val="21"/>
                <w:szCs w:val="21"/>
              </w:rPr>
              <w:t>未提供相应内容得</w:t>
            </w:r>
            <w:r>
              <w:rPr>
                <w:rFonts w:hint="eastAsia" w:ascii="仿宋_GB2312" w:hAnsi="仿宋_GB2312" w:eastAsia="仿宋_GB2312" w:cs="仿宋_GB2312"/>
                <w:sz w:val="21"/>
                <w:szCs w:val="21"/>
                <w:lang w:val="en-US" w:eastAsia="zh-CN"/>
              </w:rPr>
              <w:t>0</w:t>
            </w:r>
            <w:r>
              <w:rPr>
                <w:rFonts w:hint="eastAsia" w:ascii="仿宋_GB2312" w:hAnsi="仿宋_GB2312" w:eastAsia="仿宋_GB2312" w:cs="仿宋_GB2312"/>
                <w:sz w:val="21"/>
                <w:szCs w:val="21"/>
              </w:rPr>
              <w:t>分。</w:t>
            </w:r>
          </w:p>
        </w:tc>
        <w:tc>
          <w:tcPr>
            <w:tcW w:w="57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18</w:t>
            </w:r>
            <w:r>
              <w:rPr>
                <w:rFonts w:hint="eastAsia" w:ascii="仿宋_GB2312" w:hAnsi="仿宋_GB2312" w:eastAsia="仿宋_GB2312" w:cs="仿宋_GB231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0"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4</w:t>
            </w:r>
          </w:p>
        </w:tc>
        <w:tc>
          <w:tcPr>
            <w:tcW w:w="64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产品</w:t>
            </w:r>
            <w:r>
              <w:rPr>
                <w:rFonts w:hint="eastAsia" w:ascii="仿宋_GB2312" w:hAnsi="仿宋_GB2312" w:eastAsia="仿宋_GB2312" w:cs="仿宋_GB2312"/>
                <w:sz w:val="21"/>
                <w:szCs w:val="21"/>
              </w:rPr>
              <w:t>的参数</w:t>
            </w:r>
          </w:p>
        </w:tc>
        <w:tc>
          <w:tcPr>
            <w:tcW w:w="33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lef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根据所提供的产品功能及特点、产品性能、产品资料与需求的吻合程度和偏差情况，是否能够满足采购需求要求，产品资料是否详细完整等进行综合评审。产品资料详细完整，产品性能完全满足采购需求，投标产品功能和特点的描述清晰准确，综合性能出色（先进性、兼容性、可扩展性等），得</w:t>
            </w:r>
            <w:r>
              <w:rPr>
                <w:rFonts w:hint="eastAsia" w:ascii="仿宋_GB2312" w:hAnsi="仿宋_GB2312" w:eastAsia="仿宋_GB2312" w:cs="仿宋_GB2312"/>
                <w:sz w:val="21"/>
                <w:szCs w:val="21"/>
                <w:lang w:val="en-US" w:eastAsia="zh-CN"/>
              </w:rPr>
              <w:t>16-20</w:t>
            </w:r>
            <w:r>
              <w:rPr>
                <w:rFonts w:hint="eastAsia" w:ascii="仿宋_GB2312" w:hAnsi="仿宋_GB2312" w:eastAsia="仿宋_GB2312" w:cs="仿宋_GB2312"/>
                <w:sz w:val="21"/>
                <w:szCs w:val="21"/>
                <w:lang w:eastAsia="zh-CN"/>
              </w:rPr>
              <w:t>分；产品资料不能完全体现产品特点，功能描述不完整，少量性能指标不满足采购需求，但不影响主要功能的，得</w:t>
            </w:r>
            <w:r>
              <w:rPr>
                <w:rFonts w:hint="eastAsia" w:ascii="仿宋_GB2312" w:hAnsi="仿宋_GB2312" w:eastAsia="仿宋_GB2312" w:cs="仿宋_GB2312"/>
                <w:sz w:val="21"/>
                <w:szCs w:val="21"/>
                <w:lang w:val="en-US" w:eastAsia="zh-CN"/>
              </w:rPr>
              <w:t>10-15</w:t>
            </w:r>
            <w:r>
              <w:rPr>
                <w:rFonts w:hint="eastAsia" w:ascii="仿宋_GB2312" w:hAnsi="仿宋_GB2312" w:eastAsia="仿宋_GB2312" w:cs="仿宋_GB2312"/>
                <w:sz w:val="21"/>
                <w:szCs w:val="21"/>
                <w:lang w:eastAsia="zh-CN"/>
              </w:rPr>
              <w:t>分；产品资料内容缺漏，所选用产品有多处性能指标低于采购需求，并影响到主要功能的，得</w:t>
            </w:r>
            <w:r>
              <w:rPr>
                <w:rFonts w:hint="eastAsia" w:ascii="仿宋_GB2312" w:hAnsi="仿宋_GB2312" w:eastAsia="仿宋_GB2312" w:cs="仿宋_GB2312"/>
                <w:sz w:val="21"/>
                <w:szCs w:val="21"/>
                <w:lang w:val="en-US" w:eastAsia="zh-CN"/>
              </w:rPr>
              <w:t>5-9</w:t>
            </w:r>
            <w:r>
              <w:rPr>
                <w:rFonts w:hint="eastAsia" w:ascii="仿宋_GB2312" w:hAnsi="仿宋_GB2312" w:eastAsia="仿宋_GB2312" w:cs="仿宋_GB2312"/>
                <w:sz w:val="21"/>
                <w:szCs w:val="21"/>
                <w:lang w:eastAsia="zh-CN"/>
              </w:rPr>
              <w:t>分；产品资料内容有很多缺漏，所选用产品大量性能指标不满足采购需求，并严重影响到主要功能的，得</w:t>
            </w:r>
            <w:r>
              <w:rPr>
                <w:rFonts w:hint="eastAsia" w:ascii="仿宋_GB2312" w:hAnsi="仿宋_GB2312" w:eastAsia="仿宋_GB2312" w:cs="仿宋_GB2312"/>
                <w:sz w:val="21"/>
                <w:szCs w:val="21"/>
                <w:lang w:val="en-US" w:eastAsia="zh-CN"/>
              </w:rPr>
              <w:t>1-4</w:t>
            </w:r>
            <w:r>
              <w:rPr>
                <w:rFonts w:hint="eastAsia" w:ascii="仿宋_GB2312" w:hAnsi="仿宋_GB2312" w:eastAsia="仿宋_GB2312" w:cs="仿宋_GB2312"/>
                <w:sz w:val="21"/>
                <w:szCs w:val="21"/>
                <w:lang w:eastAsia="zh-CN"/>
              </w:rPr>
              <w:t>分。</w:t>
            </w:r>
            <w:r>
              <w:rPr>
                <w:rFonts w:hint="eastAsia" w:ascii="仿宋_GB2312" w:hAnsi="仿宋_GB2312" w:eastAsia="仿宋_GB2312" w:cs="仿宋_GB2312"/>
                <w:sz w:val="21"/>
                <w:szCs w:val="21"/>
              </w:rPr>
              <w:t>未提供相应内容得</w:t>
            </w:r>
            <w:r>
              <w:rPr>
                <w:rFonts w:hint="eastAsia" w:ascii="仿宋_GB2312" w:hAnsi="仿宋_GB2312" w:eastAsia="仿宋_GB2312" w:cs="仿宋_GB2312"/>
                <w:sz w:val="21"/>
                <w:szCs w:val="21"/>
                <w:lang w:val="en-US" w:eastAsia="zh-CN"/>
              </w:rPr>
              <w:t>0</w:t>
            </w:r>
            <w:r>
              <w:rPr>
                <w:rFonts w:hint="eastAsia" w:ascii="仿宋_GB2312" w:hAnsi="仿宋_GB2312" w:eastAsia="仿宋_GB2312" w:cs="仿宋_GB2312"/>
                <w:sz w:val="21"/>
                <w:szCs w:val="21"/>
              </w:rPr>
              <w:t>分。</w:t>
            </w:r>
          </w:p>
        </w:tc>
        <w:tc>
          <w:tcPr>
            <w:tcW w:w="57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2</w:t>
            </w:r>
            <w:r>
              <w:rPr>
                <w:rFonts w:hint="eastAsia" w:ascii="仿宋_GB2312" w:hAnsi="仿宋_GB2312" w:eastAsia="仿宋_GB2312" w:cs="仿宋_GB2312"/>
                <w:sz w:val="21"/>
                <w:szCs w:val="21"/>
                <w:lang w:val="en-US" w:eastAsia="zh-CN"/>
              </w:rPr>
              <w:t>0</w:t>
            </w:r>
            <w:r>
              <w:rPr>
                <w:rFonts w:hint="eastAsia" w:ascii="仿宋_GB2312" w:hAnsi="仿宋_GB2312" w:eastAsia="仿宋_GB2312" w:cs="仿宋_GB231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5</w:t>
            </w:r>
          </w:p>
        </w:tc>
        <w:tc>
          <w:tcPr>
            <w:tcW w:w="64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重要指标响应程度</w:t>
            </w:r>
          </w:p>
        </w:tc>
        <w:tc>
          <w:tcPr>
            <w:tcW w:w="33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lef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技术参数要求中标“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1"/>
                <w:szCs w:val="21"/>
                <w:lang w:eastAsia="zh-CN"/>
              </w:rPr>
              <w:t>”项为重要指标，需按要求提供相关证明资料予以佐证，每满足一项满足并提供相关证明材料的，加</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lang w:eastAsia="zh-CN"/>
              </w:rPr>
              <w:t>分，最高得</w:t>
            </w:r>
            <w:r>
              <w:rPr>
                <w:rFonts w:hint="eastAsia" w:ascii="仿宋_GB2312" w:hAnsi="仿宋_GB2312" w:eastAsia="仿宋_GB2312" w:cs="仿宋_GB2312"/>
                <w:sz w:val="21"/>
                <w:szCs w:val="21"/>
                <w:lang w:val="en-US" w:eastAsia="zh-CN"/>
              </w:rPr>
              <w:t>12</w:t>
            </w:r>
            <w:r>
              <w:rPr>
                <w:rFonts w:hint="eastAsia" w:ascii="仿宋_GB2312" w:hAnsi="仿宋_GB2312" w:eastAsia="仿宋_GB2312" w:cs="仿宋_GB2312"/>
                <w:sz w:val="21"/>
                <w:szCs w:val="21"/>
                <w:lang w:eastAsia="zh-CN"/>
              </w:rPr>
              <w:t>分。</w:t>
            </w:r>
          </w:p>
        </w:tc>
        <w:tc>
          <w:tcPr>
            <w:tcW w:w="57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12</w:t>
            </w:r>
            <w:r>
              <w:rPr>
                <w:rFonts w:hint="eastAsia" w:ascii="仿宋_GB2312" w:hAnsi="仿宋_GB2312" w:eastAsia="仿宋_GB2312" w:cs="仿宋_GB2312"/>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napToGrid w:val="0"/>
              <w:spacing w:line="240" w:lineRule="exact"/>
              <w:jc w:val="center"/>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6</w:t>
            </w:r>
          </w:p>
        </w:tc>
        <w:tc>
          <w:tcPr>
            <w:tcW w:w="64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napToGrid w:val="0"/>
              <w:spacing w:line="24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售后服务</w:t>
            </w:r>
          </w:p>
        </w:tc>
        <w:tc>
          <w:tcPr>
            <w:tcW w:w="339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left"/>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根据所提供的产品详细配备清单清晰，固定售后服务情况及时，配套服务方案完善的得</w:t>
            </w:r>
            <w:r>
              <w:rPr>
                <w:rFonts w:hint="eastAsia" w:ascii="仿宋_GB2312" w:hAnsi="仿宋_GB2312" w:eastAsia="仿宋_GB2312" w:cs="仿宋_GB2312"/>
                <w:color w:val="auto"/>
                <w:sz w:val="21"/>
                <w:szCs w:val="21"/>
                <w:lang w:val="en-US" w:eastAsia="zh-CN"/>
              </w:rPr>
              <w:t>3-4分；</w:t>
            </w:r>
            <w:r>
              <w:rPr>
                <w:rFonts w:hint="eastAsia" w:ascii="仿宋_GB2312" w:hAnsi="仿宋_GB2312" w:eastAsia="仿宋_GB2312" w:cs="仿宋_GB2312"/>
                <w:color w:val="auto"/>
                <w:sz w:val="21"/>
                <w:szCs w:val="21"/>
                <w:lang w:eastAsia="zh-CN"/>
              </w:rPr>
              <w:t>产品详细配备清单不全、固定售后服务情况有欠缺，配套服务方案的情况不完善的得</w:t>
            </w:r>
            <w:r>
              <w:rPr>
                <w:rFonts w:hint="eastAsia" w:ascii="仿宋_GB2312" w:hAnsi="仿宋_GB2312" w:eastAsia="仿宋_GB2312" w:cs="仿宋_GB2312"/>
                <w:color w:val="auto"/>
                <w:sz w:val="21"/>
                <w:szCs w:val="21"/>
                <w:lang w:val="en-US" w:eastAsia="zh-CN"/>
              </w:rPr>
              <w:t>1-2分；无相关配置清单、售后相应、配套服务的得0分。</w:t>
            </w:r>
            <w:bookmarkStart w:id="1" w:name="_GoBack"/>
            <w:bookmarkEnd w:id="1"/>
          </w:p>
        </w:tc>
        <w:tc>
          <w:tcPr>
            <w:tcW w:w="57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wordWrap/>
              <w:topLinePunct w:val="0"/>
              <w:bidi w:val="0"/>
              <w:spacing w:line="240" w:lineRule="exact"/>
              <w:jc w:val="center"/>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4</w:t>
            </w:r>
            <w:r>
              <w:rPr>
                <w:rFonts w:hint="eastAsia" w:ascii="仿宋_GB2312" w:hAnsi="仿宋_GB2312" w:eastAsia="仿宋_GB2312" w:cs="仿宋_GB2312"/>
                <w:color w:val="auto"/>
                <w:sz w:val="21"/>
                <w:szCs w:val="21"/>
              </w:rPr>
              <w:t>分</w:t>
            </w:r>
          </w:p>
        </w:tc>
      </w:tr>
    </w:tbl>
    <w:p>
      <w:pPr>
        <w:pStyle w:val="3"/>
        <w:pageBreakBefore w:val="0"/>
        <w:wordWrap/>
        <w:topLinePunct w:val="0"/>
        <w:bidi w:val="0"/>
        <w:spacing w:before="0" w:after="0" w:line="460" w:lineRule="exact"/>
        <w:ind w:firstLine="560" w:firstLineChars="200"/>
        <w:textAlignment w:val="auto"/>
        <w:rPr>
          <w:rFonts w:hint="eastAsia" w:ascii="黑体" w:hAnsi="黑体" w:eastAsia="黑体" w:cs="黑体"/>
          <w:b w:val="0"/>
          <w:bCs w:val="0"/>
          <w:sz w:val="28"/>
          <w:lang w:eastAsia="zh-CN"/>
        </w:rPr>
      </w:pPr>
    </w:p>
    <w:p>
      <w:pPr>
        <w:pageBreakBefore w:val="0"/>
        <w:wordWrap/>
        <w:topLinePunct w:val="0"/>
        <w:bidi w:val="0"/>
        <w:spacing w:line="460" w:lineRule="exact"/>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br w:type="page"/>
      </w:r>
    </w:p>
    <w:p>
      <w:pPr>
        <w:pStyle w:val="3"/>
        <w:pageBreakBefore w:val="0"/>
        <w:wordWrap/>
        <w:topLinePunct w:val="0"/>
        <w:bidi w:val="0"/>
        <w:spacing w:before="0" w:after="0" w:line="460" w:lineRule="exact"/>
        <w:ind w:firstLine="560" w:firstLineChars="200"/>
        <w:textAlignment w:val="auto"/>
        <w:rPr>
          <w:rFonts w:hint="eastAsia" w:ascii="黑体" w:hAnsi="黑体" w:eastAsia="黑体" w:cs="黑体"/>
          <w:b w:val="0"/>
          <w:bCs w:val="0"/>
          <w:sz w:val="28"/>
          <w:lang w:eastAsia="zh-CN"/>
        </w:rPr>
      </w:pPr>
      <w:r>
        <w:rPr>
          <w:rFonts w:hint="eastAsia" w:ascii="黑体" w:hAnsi="黑体" w:eastAsia="黑体" w:cs="黑体"/>
          <w:b w:val="0"/>
          <w:bCs w:val="0"/>
          <w:sz w:val="28"/>
          <w:lang w:eastAsia="zh-CN"/>
        </w:rPr>
        <w:t>五、合同主要服务条款</w:t>
      </w:r>
    </w:p>
    <w:p>
      <w:pPr>
        <w:pageBreakBefore w:val="0"/>
        <w:shd w:val="clear" w:color="auto" w:fill="FFFFFF"/>
        <w:wordWrap/>
        <w:topLinePunct w:val="0"/>
        <w:bidi w:val="0"/>
        <w:spacing w:before="100" w:beforeAutospacing="1" w:after="100" w:afterAutospacing="1" w:line="460" w:lineRule="exact"/>
        <w:ind w:firstLine="482" w:firstLineChars="200"/>
        <w:jc w:val="center"/>
        <w:textAlignment w:val="auto"/>
        <w:rPr>
          <w:rFonts w:hint="eastAsia" w:ascii="仿宋" w:hAnsi="仿宋" w:eastAsia="仿宋" w:cs="仿宋"/>
          <w:b/>
          <w:bCs/>
          <w:kern w:val="36"/>
          <w:highlight w:val="none"/>
          <w:lang w:eastAsia="zh-CN"/>
        </w:rPr>
      </w:pPr>
      <w:r>
        <w:rPr>
          <w:rFonts w:hint="eastAsia" w:ascii="宋体" w:hAnsi="宋体"/>
          <w:b/>
          <w:bCs/>
          <w:szCs w:val="21"/>
          <w:highlight w:val="none"/>
          <w:lang w:eastAsia="zh-CN"/>
        </w:rPr>
        <w:t>辐射防护服的采购合同</w:t>
      </w:r>
    </w:p>
    <w:p>
      <w:pPr>
        <w:pageBreakBefore w:val="0"/>
        <w:shd w:val="clear" w:color="auto" w:fill="FFFFFF"/>
        <w:wordWrap/>
        <w:topLinePunct w:val="0"/>
        <w:bidi w:val="0"/>
        <w:spacing w:line="460" w:lineRule="exact"/>
        <w:ind w:firstLine="482" w:firstLineChars="200"/>
        <w:textAlignment w:val="auto"/>
        <w:rPr>
          <w:rFonts w:hint="eastAsia" w:ascii="宋体" w:hAnsi="宋体"/>
          <w:b/>
          <w:szCs w:val="21"/>
          <w:lang w:eastAsia="zh-CN"/>
        </w:rPr>
      </w:pPr>
      <w:r>
        <w:rPr>
          <w:rFonts w:hint="eastAsia" w:ascii="宋体" w:hAnsi="宋体"/>
          <w:b/>
          <w:szCs w:val="21"/>
          <w:lang w:eastAsia="zh-CN"/>
        </w:rPr>
        <w:t>甲方（买方）：上市松江区环境监测站</w:t>
      </w:r>
    </w:p>
    <w:p>
      <w:pPr>
        <w:pageBreakBefore w:val="0"/>
        <w:shd w:val="clear" w:color="auto" w:fill="FFFFFF"/>
        <w:wordWrap/>
        <w:topLinePunct w:val="0"/>
        <w:bidi w:val="0"/>
        <w:spacing w:line="460" w:lineRule="exact"/>
        <w:ind w:firstLine="482" w:firstLineChars="200"/>
        <w:textAlignment w:val="auto"/>
        <w:rPr>
          <w:lang w:eastAsia="zh-CN"/>
        </w:rPr>
      </w:pPr>
      <w:r>
        <w:rPr>
          <w:rFonts w:hint="eastAsia" w:ascii="宋体" w:hAnsi="宋体"/>
          <w:b/>
          <w:szCs w:val="21"/>
          <w:lang w:eastAsia="zh-CN"/>
        </w:rPr>
        <w:t>地址：上海市松江区中辰路288号</w:t>
      </w:r>
    </w:p>
    <w:p>
      <w:pPr>
        <w:pageBreakBefore w:val="0"/>
        <w:shd w:val="clear" w:color="auto" w:fill="FFFFFF"/>
        <w:wordWrap/>
        <w:topLinePunct w:val="0"/>
        <w:bidi w:val="0"/>
        <w:spacing w:line="460" w:lineRule="exact"/>
        <w:ind w:firstLine="482" w:firstLineChars="200"/>
        <w:textAlignment w:val="auto"/>
        <w:rPr>
          <w:rFonts w:hint="eastAsia" w:ascii="宋体" w:hAnsi="宋体"/>
          <w:b/>
          <w:szCs w:val="21"/>
          <w:lang w:eastAsia="zh-CN"/>
        </w:rPr>
      </w:pPr>
      <w:r>
        <w:rPr>
          <w:rFonts w:hint="eastAsia" w:ascii="宋体" w:hAnsi="宋体"/>
          <w:b/>
          <w:szCs w:val="21"/>
          <w:lang w:eastAsia="zh-CN"/>
        </w:rPr>
        <w:t>电话：</w:t>
      </w:r>
    </w:p>
    <w:p>
      <w:pPr>
        <w:pageBreakBefore w:val="0"/>
        <w:shd w:val="clear" w:color="auto" w:fill="FFFFFF"/>
        <w:wordWrap/>
        <w:topLinePunct w:val="0"/>
        <w:bidi w:val="0"/>
        <w:spacing w:line="460" w:lineRule="exact"/>
        <w:ind w:firstLine="482" w:firstLineChars="200"/>
        <w:textAlignment w:val="auto"/>
        <w:rPr>
          <w:rFonts w:hint="eastAsia" w:ascii="宋体" w:hAnsi="宋体"/>
          <w:b/>
          <w:szCs w:val="21"/>
          <w:lang w:eastAsia="zh-CN"/>
        </w:rPr>
      </w:pPr>
      <w:r>
        <w:rPr>
          <w:rFonts w:hint="eastAsia" w:ascii="宋体" w:hAnsi="宋体"/>
          <w:b/>
          <w:szCs w:val="21"/>
          <w:lang w:eastAsia="zh-CN"/>
        </w:rPr>
        <w:t>联系人：</w:t>
      </w:r>
    </w:p>
    <w:p>
      <w:pPr>
        <w:pageBreakBefore w:val="0"/>
        <w:shd w:val="clear" w:color="auto" w:fill="FFFFFF"/>
        <w:wordWrap/>
        <w:topLinePunct w:val="0"/>
        <w:bidi w:val="0"/>
        <w:spacing w:line="460" w:lineRule="exact"/>
        <w:ind w:firstLine="480" w:firstLineChars="200"/>
        <w:textAlignment w:val="auto"/>
        <w:rPr>
          <w:rFonts w:hint="eastAsia" w:ascii="宋体" w:hAnsi="宋体" w:cs="Calibri"/>
          <w:szCs w:val="21"/>
          <w:lang w:eastAsia="zh-CN"/>
        </w:rPr>
      </w:pPr>
    </w:p>
    <w:p>
      <w:pPr>
        <w:pageBreakBefore w:val="0"/>
        <w:shd w:val="clear" w:color="auto" w:fill="FFFFFF"/>
        <w:wordWrap/>
        <w:topLinePunct w:val="0"/>
        <w:bidi w:val="0"/>
        <w:spacing w:line="460" w:lineRule="exact"/>
        <w:ind w:firstLine="482" w:firstLineChars="200"/>
        <w:textAlignment w:val="auto"/>
        <w:rPr>
          <w:rFonts w:hint="eastAsia" w:ascii="宋体" w:hAnsi="宋体"/>
          <w:b/>
          <w:szCs w:val="21"/>
          <w:lang w:eastAsia="zh-CN"/>
        </w:rPr>
      </w:pPr>
      <w:r>
        <w:rPr>
          <w:rFonts w:hint="eastAsia" w:ascii="宋体" w:hAnsi="宋体"/>
          <w:b/>
          <w:szCs w:val="21"/>
          <w:lang w:eastAsia="zh-CN"/>
        </w:rPr>
        <w:t>乙方（卖方）：</w:t>
      </w:r>
    </w:p>
    <w:p>
      <w:pPr>
        <w:pageBreakBefore w:val="0"/>
        <w:shd w:val="clear" w:color="auto" w:fill="FFFFFF"/>
        <w:wordWrap/>
        <w:topLinePunct w:val="0"/>
        <w:bidi w:val="0"/>
        <w:spacing w:line="460" w:lineRule="exact"/>
        <w:ind w:firstLine="482" w:firstLineChars="200"/>
        <w:textAlignment w:val="auto"/>
        <w:rPr>
          <w:rFonts w:hint="eastAsia" w:ascii="宋体" w:hAnsi="宋体"/>
          <w:b/>
          <w:szCs w:val="21"/>
          <w:lang w:eastAsia="zh-CN"/>
        </w:rPr>
      </w:pPr>
      <w:r>
        <w:rPr>
          <w:rFonts w:hint="eastAsia" w:ascii="宋体" w:hAnsi="宋体"/>
          <w:b/>
          <w:szCs w:val="21"/>
          <w:lang w:eastAsia="zh-CN"/>
        </w:rPr>
        <w:t>地址：</w:t>
      </w:r>
    </w:p>
    <w:p>
      <w:pPr>
        <w:pageBreakBefore w:val="0"/>
        <w:shd w:val="clear" w:color="auto" w:fill="FFFFFF"/>
        <w:wordWrap/>
        <w:topLinePunct w:val="0"/>
        <w:bidi w:val="0"/>
        <w:spacing w:line="460" w:lineRule="exact"/>
        <w:ind w:firstLine="482" w:firstLineChars="200"/>
        <w:textAlignment w:val="auto"/>
        <w:rPr>
          <w:rFonts w:hint="eastAsia" w:ascii="宋体" w:hAnsi="宋体"/>
          <w:b/>
          <w:szCs w:val="21"/>
          <w:lang w:eastAsia="zh-CN"/>
        </w:rPr>
      </w:pPr>
      <w:r>
        <w:rPr>
          <w:rFonts w:hint="eastAsia" w:ascii="宋体" w:hAnsi="宋体"/>
          <w:b/>
          <w:szCs w:val="21"/>
          <w:lang w:eastAsia="zh-CN"/>
        </w:rPr>
        <w:t>电话：</w:t>
      </w:r>
    </w:p>
    <w:p>
      <w:pPr>
        <w:pageBreakBefore w:val="0"/>
        <w:shd w:val="clear" w:color="auto" w:fill="FFFFFF"/>
        <w:wordWrap/>
        <w:topLinePunct w:val="0"/>
        <w:bidi w:val="0"/>
        <w:spacing w:line="460" w:lineRule="exact"/>
        <w:ind w:firstLine="482" w:firstLineChars="200"/>
        <w:textAlignment w:val="auto"/>
        <w:rPr>
          <w:rFonts w:hint="eastAsia" w:ascii="宋体" w:hAnsi="宋体"/>
          <w:b/>
          <w:szCs w:val="21"/>
          <w:lang w:eastAsia="zh-CN"/>
        </w:rPr>
      </w:pPr>
      <w:r>
        <w:rPr>
          <w:rFonts w:hint="eastAsia" w:ascii="宋体" w:hAnsi="宋体"/>
          <w:b/>
          <w:szCs w:val="21"/>
          <w:lang w:eastAsia="zh-CN"/>
        </w:rPr>
        <w:t>联系人：</w:t>
      </w:r>
    </w:p>
    <w:p>
      <w:pPr>
        <w:pStyle w:val="27"/>
        <w:pageBreakBefore w:val="0"/>
        <w:tabs>
          <w:tab w:val="center" w:pos="4153"/>
          <w:tab w:val="right" w:pos="8306"/>
          <w:tab w:val="clear" w:pos="4680"/>
          <w:tab w:val="clear" w:pos="9360"/>
        </w:tabs>
        <w:wordWrap/>
        <w:topLinePunct w:val="0"/>
        <w:bidi w:val="0"/>
        <w:spacing w:line="460" w:lineRule="exact"/>
        <w:ind w:firstLine="480" w:firstLineChars="200"/>
        <w:textAlignment w:val="auto"/>
        <w:rPr>
          <w:lang w:eastAsia="zh-CN"/>
        </w:rPr>
      </w:pPr>
    </w:p>
    <w:p>
      <w:pPr>
        <w:pageBreakBefore w:val="0"/>
        <w:wordWrap/>
        <w:topLinePunct w:val="0"/>
        <w:bidi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根据《中华人民共和国政府采购法》、《中华人民共和国民法典》之规定，本合同当事人在平等、自愿的基础上，经协商一致，同意按下述条款和条件签署本合同：</w:t>
      </w:r>
      <w:r>
        <w:rPr>
          <w:rFonts w:hint="eastAsia" w:ascii="仿宋" w:hAnsi="仿宋" w:eastAsia="仿宋" w:cs="仿宋"/>
          <w:lang w:eastAsia="zh-CN"/>
        </w:rPr>
        <w:br w:type="textWrapping"/>
      </w:r>
      <w:r>
        <w:rPr>
          <w:rFonts w:hint="eastAsia" w:ascii="仿宋" w:hAnsi="仿宋" w:eastAsia="仿宋" w:cs="仿宋"/>
          <w:lang w:eastAsia="zh-CN"/>
        </w:rPr>
        <w:t xml:space="preserve"> </w:t>
      </w:r>
      <w:r>
        <w:rPr>
          <w:rFonts w:hint="eastAsia" w:ascii="仿宋" w:hAnsi="仿宋" w:eastAsia="仿宋" w:cs="仿宋"/>
          <w:b/>
          <w:bCs/>
          <w:lang w:eastAsia="zh-CN"/>
        </w:rPr>
        <w:t>1.乙方根据本合同的规定向甲方提供以下设备：</w:t>
      </w:r>
      <w:r>
        <w:rPr>
          <w:rFonts w:hint="eastAsia" w:ascii="仿宋" w:hAnsi="仿宋" w:eastAsia="仿宋" w:cs="仿宋"/>
          <w:lang w:eastAsia="zh-CN"/>
        </w:rPr>
        <w:br w:type="textWrapping"/>
      </w:r>
      <w:r>
        <w:rPr>
          <w:rFonts w:hint="eastAsia" w:ascii="仿宋" w:hAnsi="仿宋" w:eastAsia="仿宋" w:cs="仿宋"/>
          <w:lang w:eastAsia="zh-CN"/>
        </w:rPr>
        <w:t xml:space="preserve"> 1.1乙方所提供的</w:t>
      </w:r>
      <w:r>
        <w:rPr>
          <w:rFonts w:hint="eastAsia" w:ascii="仿宋" w:hAnsi="仿宋" w:eastAsia="仿宋" w:cs="仿宋"/>
          <w:u w:val="single"/>
          <w:lang w:eastAsia="zh-CN"/>
        </w:rPr>
        <w:t xml:space="preserve"> 辐射防护服（全封闭防护服和防护背心各2套） </w:t>
      </w:r>
      <w:r>
        <w:rPr>
          <w:rFonts w:hint="eastAsia" w:ascii="仿宋" w:hAnsi="仿宋" w:eastAsia="仿宋" w:cs="仿宋"/>
          <w:lang w:eastAsia="zh-CN"/>
        </w:rPr>
        <w:t>其来源应符合国家的有关规定，供货清单详见附件。</w:t>
      </w:r>
    </w:p>
    <w:p>
      <w:pPr>
        <w:pageBreakBefore w:val="0"/>
        <w:wordWrap/>
        <w:topLinePunct w:val="0"/>
        <w:bidi w:val="0"/>
        <w:spacing w:line="460" w:lineRule="exact"/>
        <w:ind w:firstLine="482" w:firstLineChars="200"/>
        <w:jc w:val="left"/>
        <w:textAlignment w:val="auto"/>
        <w:rPr>
          <w:rFonts w:hint="eastAsia" w:ascii="仿宋" w:hAnsi="仿宋" w:eastAsia="仿宋" w:cs="仿宋"/>
          <w:b/>
          <w:bCs/>
          <w:lang w:eastAsia="zh-CN"/>
        </w:rPr>
      </w:pPr>
      <w:r>
        <w:rPr>
          <w:rFonts w:hint="eastAsia" w:ascii="仿宋" w:hAnsi="仿宋" w:eastAsia="仿宋" w:cs="仿宋"/>
          <w:b/>
          <w:bCs/>
          <w:lang w:eastAsia="zh-CN"/>
        </w:rPr>
        <w:t>2. 合同价格</w:t>
      </w:r>
    </w:p>
    <w:p>
      <w:pPr>
        <w:pageBreakBefore w:val="0"/>
        <w:wordWrap/>
        <w:topLinePunct w:val="0"/>
        <w:bidi w:val="0"/>
        <w:spacing w:line="460" w:lineRule="exact"/>
        <w:ind w:firstLine="480" w:firstLineChars="200"/>
        <w:jc w:val="left"/>
        <w:textAlignment w:val="auto"/>
        <w:rPr>
          <w:rFonts w:hint="eastAsia" w:ascii="仿宋" w:hAnsi="仿宋" w:eastAsia="仿宋" w:cs="仿宋"/>
          <w:u w:val="single"/>
          <w:lang w:eastAsia="zh-CN"/>
        </w:rPr>
      </w:pPr>
      <w:r>
        <w:rPr>
          <w:rFonts w:hint="eastAsia" w:ascii="仿宋" w:hAnsi="仿宋" w:eastAsia="仿宋" w:cs="仿宋"/>
          <w:lang w:eastAsia="zh-CN"/>
        </w:rPr>
        <w:t>本合同价格为</w:t>
      </w:r>
      <w:r>
        <w:rPr>
          <w:rFonts w:hint="eastAsia" w:ascii="仿宋" w:hAnsi="仿宋" w:eastAsia="仿宋" w:cs="仿宋"/>
          <w:u w:val="single"/>
          <w:lang w:eastAsia="zh-CN"/>
        </w:rPr>
        <w:t xml:space="preserve">            </w:t>
      </w:r>
      <w:r>
        <w:rPr>
          <w:rFonts w:hint="eastAsia" w:ascii="仿宋" w:hAnsi="仿宋" w:eastAsia="仿宋" w:cs="仿宋"/>
          <w:lang w:eastAsia="zh-CN"/>
        </w:rPr>
        <w:t>元整。</w:t>
      </w:r>
      <w:r>
        <w:rPr>
          <w:rFonts w:hint="eastAsia" w:ascii="仿宋" w:hAnsi="仿宋" w:eastAsia="仿宋" w:cs="仿宋"/>
          <w:lang w:eastAsia="zh-CN"/>
        </w:rPr>
        <w:br w:type="textWrapping"/>
      </w:r>
      <w:r>
        <w:rPr>
          <w:rFonts w:hint="eastAsia" w:ascii="仿宋" w:hAnsi="仿宋" w:eastAsia="仿宋" w:cs="仿宋"/>
          <w:lang w:eastAsia="zh-CN"/>
        </w:rPr>
        <w:t xml:space="preserve">    乙方为履行本合同而发生的所有费用均应包含在合同价中，甲方不再另行支付其它任何费用。</w:t>
      </w:r>
    </w:p>
    <w:p>
      <w:pPr>
        <w:pageBreakBefore w:val="0"/>
        <w:wordWrap/>
        <w:topLinePunct w:val="0"/>
        <w:bidi w:val="0"/>
        <w:spacing w:line="460" w:lineRule="exact"/>
        <w:ind w:firstLine="482" w:firstLineChars="200"/>
        <w:jc w:val="left"/>
        <w:textAlignment w:val="auto"/>
        <w:rPr>
          <w:rFonts w:hint="eastAsia" w:ascii="仿宋" w:hAnsi="仿宋" w:eastAsia="仿宋" w:cs="仿宋"/>
          <w:lang w:eastAsia="zh-CN"/>
        </w:rPr>
      </w:pPr>
      <w:r>
        <w:rPr>
          <w:rFonts w:hint="eastAsia" w:ascii="仿宋" w:hAnsi="仿宋" w:eastAsia="仿宋" w:cs="仿宋"/>
          <w:b/>
          <w:bCs/>
          <w:lang w:eastAsia="zh-CN"/>
        </w:rPr>
        <w:t>3．质量标准和要求</w:t>
      </w:r>
      <w:r>
        <w:rPr>
          <w:rFonts w:hint="eastAsia" w:ascii="仿宋" w:hAnsi="仿宋" w:eastAsia="仿宋" w:cs="仿宋"/>
          <w:lang w:eastAsia="zh-CN"/>
        </w:rPr>
        <w:br w:type="textWrapping"/>
      </w:r>
      <w:r>
        <w:rPr>
          <w:rFonts w:hint="eastAsia" w:ascii="仿宋" w:hAnsi="仿宋" w:eastAsia="仿宋" w:cs="仿宋"/>
          <w:lang w:eastAsia="zh-CN"/>
        </w:rPr>
        <w:t>3.1乙方所提供的设备质量标准按照国家标准、行业标准或制造厂家企业标准确定，上述标准不一致的，以严格的标准为准。没有国家标准、行业标准和企业标准的，按照通常标准或者符合合同目的的特定标准确定。</w:t>
      </w:r>
    </w:p>
    <w:p>
      <w:pPr>
        <w:pageBreakBefore w:val="0"/>
        <w:wordWrap/>
        <w:topLinePunct w:val="0"/>
        <w:bidi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3.2产品质保期一年，验收通过之日起算。</w:t>
      </w:r>
    </w:p>
    <w:p>
      <w:pPr>
        <w:pageBreakBefore w:val="0"/>
        <w:wordWrap/>
        <w:topLinePunct w:val="0"/>
        <w:bidi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4</w:t>
      </w:r>
      <w:r>
        <w:rPr>
          <w:rFonts w:hint="eastAsia" w:ascii="仿宋" w:hAnsi="仿宋" w:eastAsia="仿宋" w:cs="仿宋"/>
          <w:b/>
          <w:bCs/>
          <w:lang w:eastAsia="zh-CN"/>
        </w:rPr>
        <w:t>．验收</w:t>
      </w:r>
      <w:r>
        <w:rPr>
          <w:rFonts w:hint="eastAsia" w:ascii="仿宋" w:hAnsi="仿宋" w:eastAsia="仿宋" w:cs="仿宋"/>
          <w:lang w:eastAsia="zh-CN"/>
        </w:rPr>
        <w:br w:type="textWrapping"/>
      </w:r>
      <w:r>
        <w:rPr>
          <w:rFonts w:hint="eastAsia" w:ascii="仿宋" w:hAnsi="仿宋" w:eastAsia="仿宋" w:cs="仿宋"/>
          <w:lang w:eastAsia="zh-CN"/>
        </w:rPr>
        <w:t>4.1服务根据合同的规定完成后，甲方应及时进行根据合同的规定进行验收。</w:t>
      </w:r>
      <w:r>
        <w:rPr>
          <w:rFonts w:hint="eastAsia" w:ascii="仿宋" w:hAnsi="仿宋" w:eastAsia="仿宋" w:cs="仿宋"/>
          <w:lang w:eastAsia="zh-CN"/>
        </w:rPr>
        <w:br w:type="textWrapping"/>
      </w:r>
      <w:r>
        <w:rPr>
          <w:rFonts w:hint="eastAsia" w:ascii="仿宋" w:hAnsi="仿宋" w:eastAsia="仿宋" w:cs="仿宋"/>
          <w:lang w:eastAsia="zh-CN"/>
        </w:rPr>
        <w:t>4.2如果属于乙方原因致使货物未能通过验收，乙方应当排除故障，并自行承担相关费用，同时进行试运行，直至货物完全符合验收标准。</w:t>
      </w:r>
      <w:r>
        <w:rPr>
          <w:rFonts w:hint="eastAsia" w:ascii="仿宋" w:hAnsi="仿宋" w:eastAsia="仿宋" w:cs="仿宋"/>
          <w:lang w:eastAsia="zh-CN"/>
        </w:rPr>
        <w:br w:type="textWrapping"/>
      </w:r>
      <w:r>
        <w:rPr>
          <w:rFonts w:hint="eastAsia" w:ascii="仿宋" w:hAnsi="仿宋" w:eastAsia="仿宋" w:cs="仿宋"/>
          <w:lang w:eastAsia="zh-CN"/>
        </w:rPr>
        <w:t>4.3如果属于甲方原因致使货物未能通过验收，甲方应在合理时间内排除故障，再次进行验收。如果属于故障之外的原因，除本合同规定的不可抗力外，甲方不愿或未能在规定的时间内完成验收，则由乙方单方面进行验收，并将验收报告提交甲方，即视为验收通过。</w:t>
      </w:r>
      <w:r>
        <w:rPr>
          <w:rFonts w:hint="eastAsia" w:ascii="仿宋" w:hAnsi="仿宋" w:eastAsia="仿宋" w:cs="仿宋"/>
          <w:lang w:eastAsia="zh-CN"/>
        </w:rPr>
        <w:br w:type="textWrapping"/>
      </w:r>
      <w:r>
        <w:rPr>
          <w:rFonts w:hint="eastAsia" w:ascii="仿宋" w:hAnsi="仿宋" w:eastAsia="仿宋" w:cs="仿宋"/>
          <w:lang w:eastAsia="zh-CN"/>
        </w:rPr>
        <w:t>4.4甲方根据合同的规定对货物验收合格后，甲方收取发票并签署验收意见。</w:t>
      </w:r>
    </w:p>
    <w:p>
      <w:pPr>
        <w:pageBreakBefore w:val="0"/>
        <w:wordWrap/>
        <w:topLinePunct w:val="0"/>
        <w:bidi w:val="0"/>
        <w:spacing w:line="460" w:lineRule="exact"/>
        <w:ind w:firstLine="482" w:firstLineChars="200"/>
        <w:jc w:val="left"/>
        <w:textAlignment w:val="auto"/>
        <w:rPr>
          <w:rFonts w:hint="default" w:ascii="仿宋" w:hAnsi="仿宋" w:eastAsia="仿宋" w:cs="仿宋"/>
          <w:highlight w:val="yellow"/>
          <w:u w:val="single"/>
          <w:lang w:val="en-US" w:eastAsia="zh-CN"/>
        </w:rPr>
      </w:pPr>
      <w:r>
        <w:rPr>
          <w:rFonts w:hint="eastAsia" w:ascii="仿宋" w:hAnsi="仿宋" w:eastAsia="仿宋" w:cs="仿宋"/>
          <w:b/>
          <w:bCs/>
          <w:lang w:eastAsia="zh-CN"/>
        </w:rPr>
        <w:t>5．付款</w:t>
      </w:r>
      <w:r>
        <w:rPr>
          <w:rFonts w:hint="eastAsia" w:ascii="仿宋" w:hAnsi="仿宋" w:eastAsia="仿宋" w:cs="仿宋"/>
          <w:lang w:eastAsia="zh-CN"/>
        </w:rPr>
        <w:br w:type="textWrapping"/>
      </w:r>
      <w:r>
        <w:rPr>
          <w:rFonts w:hint="eastAsia" w:ascii="仿宋" w:hAnsi="仿宋" w:eastAsia="仿宋" w:cs="仿宋"/>
          <w:highlight w:val="none"/>
          <w:lang w:eastAsia="zh-CN"/>
        </w:rPr>
        <w:t>5.1本合同以人民币付款（单位：</w:t>
      </w:r>
      <w:r>
        <w:rPr>
          <w:rFonts w:hint="eastAsia" w:ascii="仿宋" w:hAnsi="仿宋" w:eastAsia="仿宋" w:cs="仿宋"/>
          <w:highlight w:val="none"/>
          <w:u w:val="single"/>
          <w:lang w:eastAsia="zh-CN"/>
        </w:rPr>
        <w:t xml:space="preserve">          </w:t>
      </w:r>
      <w:r>
        <w:rPr>
          <w:rFonts w:hint="eastAsia" w:ascii="仿宋" w:hAnsi="仿宋" w:eastAsia="仿宋" w:cs="仿宋"/>
          <w:highlight w:val="none"/>
          <w:lang w:eastAsia="zh-CN"/>
        </w:rPr>
        <w:t>元）。</w:t>
      </w:r>
      <w:r>
        <w:rPr>
          <w:rFonts w:hint="eastAsia" w:ascii="仿宋" w:hAnsi="仿宋" w:eastAsia="仿宋" w:cs="仿宋"/>
          <w:highlight w:val="none"/>
          <w:lang w:eastAsia="zh-CN"/>
        </w:rPr>
        <w:br w:type="textWrapping"/>
      </w:r>
      <w:r>
        <w:rPr>
          <w:rFonts w:hint="eastAsia" w:ascii="仿宋" w:hAnsi="仿宋" w:eastAsia="仿宋" w:cs="仿宋"/>
          <w:highlight w:val="none"/>
          <w:lang w:eastAsia="zh-CN"/>
        </w:rPr>
        <w:t>5.2本合同款项按照以下方式支付。</w:t>
      </w:r>
      <w:r>
        <w:rPr>
          <w:rFonts w:hint="eastAsia" w:ascii="仿宋" w:hAnsi="仿宋" w:eastAsia="仿宋" w:cs="仿宋"/>
          <w:highlight w:val="none"/>
          <w:lang w:eastAsia="zh-CN"/>
        </w:rPr>
        <w:br w:type="textWrapping"/>
      </w:r>
      <w:r>
        <w:rPr>
          <w:rFonts w:hint="eastAsia" w:ascii="仿宋" w:hAnsi="仿宋" w:eastAsia="仿宋" w:cs="仿宋"/>
          <w:highlight w:val="none"/>
          <w:lang w:eastAsia="zh-CN"/>
        </w:rPr>
        <w:t>5.2.1付款内容：</w:t>
      </w:r>
      <w:r>
        <w:rPr>
          <w:rFonts w:hint="eastAsia" w:ascii="仿宋" w:hAnsi="仿宋" w:eastAsia="仿宋" w:cs="仿宋"/>
          <w:highlight w:val="yellow"/>
          <w:u w:val="single"/>
          <w:lang w:eastAsia="zh-CN"/>
        </w:rPr>
        <w:t>合同签订后支付</w:t>
      </w:r>
      <w:r>
        <w:rPr>
          <w:rFonts w:hint="eastAsia" w:ascii="仿宋" w:hAnsi="仿宋" w:eastAsia="仿宋" w:cs="仿宋"/>
          <w:highlight w:val="yellow"/>
          <w:u w:val="single"/>
          <w:lang w:val="en-US" w:eastAsia="zh-CN"/>
        </w:rPr>
        <w:t>30%，</w:t>
      </w:r>
      <w:r>
        <w:rPr>
          <w:rFonts w:hint="eastAsia" w:ascii="仿宋" w:hAnsi="仿宋" w:eastAsia="仿宋" w:cs="仿宋"/>
          <w:highlight w:val="yellow"/>
          <w:u w:val="single"/>
          <w:lang w:eastAsia="zh-CN"/>
        </w:rPr>
        <w:t>货到通过验收后支付剩余</w:t>
      </w:r>
      <w:r>
        <w:rPr>
          <w:rFonts w:hint="eastAsia" w:ascii="仿宋" w:hAnsi="仿宋" w:eastAsia="仿宋" w:cs="仿宋"/>
          <w:highlight w:val="yellow"/>
          <w:u w:val="single"/>
          <w:lang w:val="en-US" w:eastAsia="zh-CN"/>
        </w:rPr>
        <w:t>70%尾款。</w:t>
      </w:r>
    </w:p>
    <w:p>
      <w:pPr>
        <w:pageBreakBefore w:val="0"/>
        <w:wordWrap/>
        <w:topLinePunct w:val="0"/>
        <w:bidi w:val="0"/>
        <w:spacing w:line="460" w:lineRule="exact"/>
        <w:ind w:firstLine="482" w:firstLineChars="200"/>
        <w:jc w:val="left"/>
        <w:textAlignment w:val="auto"/>
        <w:rPr>
          <w:rFonts w:hint="eastAsia" w:ascii="仿宋" w:hAnsi="仿宋" w:eastAsia="仿宋" w:cs="仿宋"/>
          <w:b/>
          <w:bCs/>
          <w:lang w:eastAsia="zh-CN"/>
        </w:rPr>
      </w:pPr>
      <w:r>
        <w:rPr>
          <w:rFonts w:hint="eastAsia" w:ascii="仿宋" w:hAnsi="仿宋" w:eastAsia="仿宋" w:cs="仿宋"/>
          <w:b/>
          <w:bCs/>
          <w:lang w:eastAsia="zh-CN"/>
        </w:rPr>
        <w:t>6.保密义务</w:t>
      </w:r>
    </w:p>
    <w:p>
      <w:pPr>
        <w:pageBreakBefore w:val="0"/>
        <w:wordWrap/>
        <w:topLinePunct w:val="0"/>
        <w:bidi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乙方在向甲方提供服务过程中，对其获知的各类资料和信息，包括但不限于涉及国家秘密、商业秘密、个人隐私和其他不宜公开的技术资料、数据信息等资料和信息，承担保密义务，未经甲方书面同意，乙方不得以任何方式提供或披露给第三方。如乙方提供服务过程中涉及上述资料信息使用的，乙方应当按照甲方规定的使用用途和方式，正当、合理、审慎地使用涉及保密义务的资料和信息。</w:t>
      </w:r>
    </w:p>
    <w:p>
      <w:pPr>
        <w:pageBreakBefore w:val="0"/>
        <w:wordWrap/>
        <w:topLinePunct w:val="0"/>
        <w:bidi w:val="0"/>
        <w:spacing w:line="460" w:lineRule="exact"/>
        <w:ind w:firstLine="482" w:firstLineChars="200"/>
        <w:jc w:val="left"/>
        <w:textAlignment w:val="auto"/>
        <w:rPr>
          <w:rFonts w:hint="eastAsia" w:ascii="仿宋" w:hAnsi="仿宋" w:eastAsia="仿宋" w:cs="仿宋"/>
          <w:b/>
          <w:bCs/>
          <w:lang w:eastAsia="zh-CN"/>
        </w:rPr>
      </w:pPr>
      <w:r>
        <w:rPr>
          <w:rFonts w:hint="eastAsia" w:ascii="仿宋" w:hAnsi="仿宋" w:eastAsia="仿宋" w:cs="仿宋"/>
          <w:b/>
          <w:bCs/>
          <w:lang w:eastAsia="zh-CN"/>
        </w:rPr>
        <w:t>7.违约金或者损失赔偿额的计算方法</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违反本合同约定，违约方应当按照《中华人民共和国民法典》合同编的有关条款规定，承担违约责任。</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一）合同生效后，甲方不得无故终止合同履行。若甲方执意终止合同，应按乙方已开展的实际工作量支付乙方费用。若该费用低于本合同总额20%，按合同报酬总额20%计。实际工作量乙方给出书面说明和相关依据。</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（二）合同生效后，乙方不得无故中途解除合同；若乙方执意解除合同，应全额退还甲方支付的费用。若该费用低于本合同总额20%，按合同报酬总额20%计。</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（三）其它：</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1.甲、乙双方应认真履行合同，由于某一方的故意或过失使合同不能履行或造成其它后果的，由违约方承担相应责任；如在项目实施过程中，乙方违约情节严重，甲方有权终止合同，由此造成甲方的经济损失由乙方承担。如属双方过失，则根据各自过失的大小，分别承担相应的责任。</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2.由于不可抗力造成合同不能履行时，遭受不可抗力影响的一方应采取积极的措施，并向另一方书面说明，就此情况下造成的合同延期履行、中止或提前终止，甲、乙双方均不承担责任。如造成任何一方损失的，则由损失方自理。</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3.为贯彻落实廉政要求，维护采购结果的公正性，保证合同顺利履行，乙方在本项目中需按照《廉洁履约承诺书》相关要求严格约束自身行为，遵守廉洁承诺为本合同履行不可分割的一部分。若乙方违背上述条款，甲方有权视情节轻重，扣除相应合同款项或者单方解除合同并要求乙方对合同解除给甲方造成的损失进行赔偿。</w:t>
      </w:r>
    </w:p>
    <w:p>
      <w:pPr>
        <w:pageBreakBefore w:val="0"/>
        <w:numPr>
          <w:ilvl w:val="255"/>
          <w:numId w:val="0"/>
        </w:numPr>
        <w:wordWrap/>
        <w:topLinePunct w:val="0"/>
        <w:bidi w:val="0"/>
        <w:spacing w:before="100" w:after="100" w:line="460" w:lineRule="exact"/>
        <w:ind w:firstLine="482" w:firstLineChars="200"/>
        <w:textAlignment w:val="auto"/>
        <w:rPr>
          <w:rFonts w:hint="eastAsia" w:ascii="仿宋" w:hAnsi="仿宋" w:eastAsia="仿宋" w:cs="仿宋"/>
          <w:b/>
          <w:bCs/>
          <w:lang w:eastAsia="zh-CN"/>
        </w:rPr>
      </w:pPr>
      <w:r>
        <w:rPr>
          <w:rFonts w:hint="eastAsia" w:ascii="仿宋" w:hAnsi="仿宋" w:eastAsia="仿宋" w:cs="仿宋"/>
          <w:b/>
          <w:bCs/>
          <w:lang w:eastAsia="zh-CN"/>
        </w:rPr>
        <w:t>8.解决合同纠纷的方式</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在履行本合同过程中发生争议，当事人双方可以协商，通过和解或者调解解决。当事人不愿协商、和解、调解或者和解、调解不成，采用以下第（二）种方式解决。</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双方同意由   /   仲裁委员会仲裁。</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（二）向人民法院起诉，约定</w:t>
      </w:r>
      <w:r>
        <w:rPr>
          <w:rFonts w:hint="eastAsia" w:ascii="仿宋" w:hAnsi="仿宋" w:eastAsia="仿宋" w:cs="仿宋"/>
          <w:u w:val="single"/>
          <w:lang w:eastAsia="zh-CN"/>
        </w:rPr>
        <w:t xml:space="preserve">  ②  </w:t>
      </w:r>
      <w:r>
        <w:rPr>
          <w:rFonts w:hint="eastAsia" w:ascii="仿宋" w:hAnsi="仿宋" w:eastAsia="仿宋" w:cs="仿宋"/>
          <w:lang w:eastAsia="zh-CN"/>
        </w:rPr>
        <w:t>人民法院管辖。</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①被告住所地  ②合同履行地  ③合同签订地</w:t>
      </w:r>
      <w:r>
        <w:rPr>
          <w:rFonts w:hint="eastAsia" w:ascii="仿宋" w:hAnsi="仿宋" w:eastAsia="仿宋" w:cs="仿宋"/>
          <w:lang w:val="en-US" w:eastAsia="zh-CN"/>
        </w:rPr>
        <w:t xml:space="preserve">  </w:t>
      </w:r>
      <w:r>
        <w:rPr>
          <w:rFonts w:hint="eastAsia" w:ascii="仿宋" w:hAnsi="仿宋" w:eastAsia="仿宋" w:cs="仿宋"/>
          <w:lang w:eastAsia="zh-CN"/>
        </w:rPr>
        <w:t>④原告住所地  ⑤标的物所在地</w:t>
      </w:r>
    </w:p>
    <w:p>
      <w:pPr>
        <w:pageBreakBefore w:val="0"/>
        <w:numPr>
          <w:ilvl w:val="255"/>
          <w:numId w:val="0"/>
        </w:numPr>
        <w:wordWrap/>
        <w:topLinePunct w:val="0"/>
        <w:bidi w:val="0"/>
        <w:spacing w:before="100" w:after="100" w:line="460" w:lineRule="exact"/>
        <w:ind w:firstLine="482" w:firstLineChars="200"/>
        <w:textAlignment w:val="auto"/>
        <w:rPr>
          <w:rFonts w:hint="eastAsia" w:ascii="仿宋" w:hAnsi="仿宋" w:eastAsia="仿宋" w:cs="仿宋"/>
          <w:b/>
          <w:bCs/>
          <w:lang w:eastAsia="zh-CN"/>
        </w:rPr>
      </w:pPr>
      <w:r>
        <w:rPr>
          <w:rFonts w:hint="eastAsia" w:ascii="仿宋" w:hAnsi="仿宋" w:eastAsia="仿宋" w:cs="仿宋"/>
          <w:b/>
          <w:bCs/>
          <w:lang w:eastAsia="zh-CN"/>
        </w:rPr>
        <w:t>9.其它条款</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1.本合同全部附件为合同的组成部分，经过招投标的项目，招投标文件视为合同的一部分，并与合同一起阅读和解释。</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2项目款应实行专款专用，并符合财政相关管理规定。</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3.本合同经合同各方盖章后生效。本合同有未尽事宜或合同生效后，合同履行的基础条件发生重大变更的，可由双方协商并通过签订补充合同的方式对相关内容予以变更确认。</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4.本合同一式</w:t>
      </w:r>
      <w:r>
        <w:rPr>
          <w:rFonts w:hint="eastAsia" w:ascii="仿宋" w:hAnsi="仿宋" w:eastAsia="仿宋" w:cs="仿宋"/>
          <w:u w:val="single"/>
          <w:lang w:eastAsia="zh-CN"/>
        </w:rPr>
        <w:t xml:space="preserve">  四  </w:t>
      </w:r>
      <w:r>
        <w:rPr>
          <w:rFonts w:hint="eastAsia" w:ascii="仿宋" w:hAnsi="仿宋" w:eastAsia="仿宋" w:cs="仿宋"/>
          <w:lang w:eastAsia="zh-CN"/>
        </w:rPr>
        <w:t>份，并且从合同签订日期起生效。</w:t>
      </w:r>
    </w:p>
    <w:p>
      <w:pPr>
        <w:pageBreakBefore w:val="0"/>
        <w:wordWrap/>
        <w:topLinePunct w:val="0"/>
        <w:bidi w:val="0"/>
        <w:adjustRightInd w:val="0"/>
        <w:snapToGrid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 xml:space="preserve">   上述条款未尽事宜，双方协商解决。</w:t>
      </w:r>
    </w:p>
    <w:p>
      <w:pPr>
        <w:pageBreakBefore w:val="0"/>
        <w:wordWrap/>
        <w:topLinePunct w:val="0"/>
        <w:bidi w:val="0"/>
        <w:spacing w:line="460" w:lineRule="exact"/>
        <w:ind w:firstLine="480" w:firstLineChars="200"/>
        <w:jc w:val="left"/>
        <w:textAlignment w:val="auto"/>
        <w:rPr>
          <w:rFonts w:hint="eastAsia" w:ascii="仿宋" w:hAnsi="仿宋" w:eastAsia="仿宋" w:cs="仿宋"/>
          <w:lang w:eastAsia="zh-CN"/>
        </w:rPr>
      </w:pPr>
    </w:p>
    <w:p>
      <w:pPr>
        <w:pageBreakBefore w:val="0"/>
        <w:wordWrap/>
        <w:topLinePunct w:val="0"/>
        <w:bidi w:val="0"/>
        <w:spacing w:line="460" w:lineRule="exact"/>
        <w:ind w:firstLine="480" w:firstLineChars="200"/>
        <w:jc w:val="left"/>
        <w:textAlignment w:val="auto"/>
        <w:rPr>
          <w:rFonts w:hint="eastAsia" w:ascii="仿宋" w:hAnsi="仿宋" w:eastAsia="仿宋" w:cs="仿宋"/>
        </w:rPr>
      </w:pPr>
      <w:r>
        <w:rPr>
          <w:rFonts w:hint="eastAsia" w:ascii="仿宋" w:hAnsi="仿宋" w:eastAsia="仿宋" w:cs="仿宋"/>
        </w:rPr>
        <w:t>签约各方：</w:t>
      </w:r>
    </w:p>
    <w:tbl>
      <w:tblPr>
        <w:tblStyle w:val="40"/>
        <w:tblW w:w="0" w:type="auto"/>
        <w:tblCellSpacing w:w="7" w:type="dxa"/>
        <w:tblInd w:w="0" w:type="dxa"/>
        <w:tblLayout w:type="fixed"/>
        <w:tblCellMar>
          <w:top w:w="15" w:type="dxa"/>
          <w:left w:w="15" w:type="dxa"/>
          <w:bottom w:w="15" w:type="dxa"/>
          <w:right w:w="15" w:type="dxa"/>
        </w:tblCellMar>
      </w:tblPr>
      <w:tblGrid>
        <w:gridCol w:w="4549"/>
        <w:gridCol w:w="4501"/>
      </w:tblGrid>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pageBreakBefore w:val="0"/>
              <w:wordWrap/>
              <w:topLinePunct w:val="0"/>
              <w:bidi w:val="0"/>
              <w:spacing w:line="460" w:lineRule="exact"/>
              <w:ind w:firstLine="480" w:firstLineChars="200"/>
              <w:jc w:val="left"/>
              <w:textAlignment w:val="auto"/>
              <w:rPr>
                <w:rFonts w:hint="eastAsia" w:ascii="仿宋" w:hAnsi="仿宋" w:eastAsia="仿宋" w:cs="仿宋"/>
              </w:rPr>
            </w:pPr>
            <w:r>
              <w:rPr>
                <w:rFonts w:hint="eastAsia" w:ascii="仿宋" w:hAnsi="仿宋" w:eastAsia="仿宋" w:cs="仿宋"/>
              </w:rPr>
              <w:t>甲方（盖章）：</w:t>
            </w:r>
          </w:p>
        </w:tc>
        <w:tc>
          <w:tcPr>
            <w:tcW w:w="4480" w:type="dxa"/>
            <w:tcBorders>
              <w:tl2br w:val="nil"/>
              <w:tr2bl w:val="nil"/>
            </w:tcBorders>
            <w:vAlign w:val="center"/>
          </w:tcPr>
          <w:p>
            <w:pPr>
              <w:pageBreakBefore w:val="0"/>
              <w:wordWrap/>
              <w:topLinePunct w:val="0"/>
              <w:bidi w:val="0"/>
              <w:spacing w:line="460" w:lineRule="exact"/>
              <w:ind w:firstLine="480" w:firstLineChars="200"/>
              <w:jc w:val="left"/>
              <w:textAlignment w:val="auto"/>
              <w:rPr>
                <w:rFonts w:hint="eastAsia" w:ascii="仿宋" w:hAnsi="仿宋" w:eastAsia="仿宋" w:cs="仿宋"/>
              </w:rPr>
            </w:pPr>
            <w:r>
              <w:rPr>
                <w:rFonts w:hint="eastAsia" w:ascii="仿宋" w:hAnsi="仿宋" w:eastAsia="仿宋" w:cs="仿宋"/>
              </w:rPr>
              <w:t xml:space="preserve">乙方（盖章）： </w:t>
            </w:r>
          </w:p>
        </w:tc>
      </w:tr>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pageBreakBefore w:val="0"/>
              <w:wordWrap/>
              <w:topLinePunct w:val="0"/>
              <w:bidi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法定代表人或授权委托人（签章）：</w:t>
            </w:r>
          </w:p>
          <w:p>
            <w:pPr>
              <w:pageBreakBefore w:val="0"/>
              <w:wordWrap/>
              <w:topLinePunct w:val="0"/>
              <w:bidi w:val="0"/>
              <w:spacing w:line="460" w:lineRule="exact"/>
              <w:ind w:firstLine="480" w:firstLineChars="200"/>
              <w:jc w:val="left"/>
              <w:textAlignment w:val="auto"/>
              <w:rPr>
                <w:rFonts w:hint="eastAsia" w:ascii="仿宋" w:hAnsi="仿宋" w:eastAsia="仿宋" w:cs="仿宋"/>
                <w:lang w:eastAsia="zh-CN"/>
              </w:rPr>
            </w:pPr>
          </w:p>
        </w:tc>
        <w:tc>
          <w:tcPr>
            <w:tcW w:w="4480" w:type="dxa"/>
            <w:tcBorders>
              <w:tl2br w:val="nil"/>
              <w:tr2bl w:val="nil"/>
            </w:tcBorders>
            <w:vAlign w:val="center"/>
          </w:tcPr>
          <w:p>
            <w:pPr>
              <w:pageBreakBefore w:val="0"/>
              <w:wordWrap/>
              <w:topLinePunct w:val="0"/>
              <w:bidi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lang w:eastAsia="zh-CN"/>
              </w:rPr>
              <w:t>法定代表人或授权委托人（签章）：</w:t>
            </w:r>
          </w:p>
          <w:p>
            <w:pPr>
              <w:pageBreakBefore w:val="0"/>
              <w:wordWrap/>
              <w:topLinePunct w:val="0"/>
              <w:bidi w:val="0"/>
              <w:spacing w:line="460" w:lineRule="exact"/>
              <w:ind w:firstLine="480" w:firstLineChars="200"/>
              <w:jc w:val="left"/>
              <w:textAlignment w:val="auto"/>
              <w:rPr>
                <w:rFonts w:hint="eastAsia" w:ascii="仿宋" w:hAnsi="仿宋" w:eastAsia="仿宋" w:cs="仿宋"/>
                <w:lang w:eastAsia="zh-CN"/>
              </w:rPr>
            </w:pPr>
          </w:p>
        </w:tc>
      </w:tr>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pageBreakBefore w:val="0"/>
              <w:wordWrap/>
              <w:topLinePunct w:val="0"/>
              <w:bidi w:val="0"/>
              <w:spacing w:line="460" w:lineRule="exact"/>
              <w:ind w:firstLine="480" w:firstLineChars="200"/>
              <w:jc w:val="left"/>
              <w:textAlignment w:val="auto"/>
              <w:rPr>
                <w:rFonts w:hint="eastAsia" w:ascii="仿宋" w:hAnsi="仿宋" w:eastAsia="仿宋" w:cs="仿宋"/>
                <w:lang w:eastAsia="zh-CN"/>
              </w:rPr>
            </w:pPr>
            <w:r>
              <w:rPr>
                <w:rFonts w:hint="eastAsia" w:ascii="仿宋" w:hAnsi="仿宋" w:eastAsia="仿宋" w:cs="仿宋"/>
              </w:rPr>
              <w:t>合同签订地点：</w:t>
            </w:r>
            <w:r>
              <w:rPr>
                <w:rFonts w:hint="eastAsia" w:ascii="仿宋" w:hAnsi="仿宋" w:eastAsia="仿宋" w:cs="仿宋"/>
                <w:lang w:eastAsia="zh-CN"/>
              </w:rPr>
              <w:t>上海松江</w:t>
            </w:r>
          </w:p>
        </w:tc>
        <w:tc>
          <w:tcPr>
            <w:tcW w:w="4480" w:type="dxa"/>
            <w:tcBorders>
              <w:tl2br w:val="nil"/>
              <w:tr2bl w:val="nil"/>
            </w:tcBorders>
            <w:vAlign w:val="center"/>
          </w:tcPr>
          <w:p>
            <w:pPr>
              <w:pageBreakBefore w:val="0"/>
              <w:wordWrap/>
              <w:topLinePunct w:val="0"/>
              <w:bidi w:val="0"/>
              <w:spacing w:line="460" w:lineRule="exact"/>
              <w:ind w:firstLine="480" w:firstLineChars="200"/>
              <w:jc w:val="left"/>
              <w:textAlignment w:val="auto"/>
              <w:rPr>
                <w:rFonts w:hint="eastAsia" w:ascii="仿宋" w:hAnsi="仿宋" w:eastAsia="仿宋" w:cs="仿宋"/>
              </w:rPr>
            </w:pPr>
            <w:r>
              <w:rPr>
                <w:rFonts w:hint="eastAsia" w:ascii="仿宋" w:hAnsi="仿宋" w:eastAsia="仿宋" w:cs="仿宋"/>
              </w:rPr>
              <w:t>合同签订地点：</w:t>
            </w:r>
            <w:r>
              <w:rPr>
                <w:rFonts w:hint="eastAsia" w:ascii="仿宋" w:hAnsi="仿宋" w:eastAsia="仿宋" w:cs="仿宋"/>
                <w:lang w:eastAsia="zh-CN"/>
              </w:rPr>
              <w:t>上海松江</w:t>
            </w:r>
          </w:p>
        </w:tc>
      </w:tr>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pageBreakBefore w:val="0"/>
              <w:wordWrap/>
              <w:topLinePunct w:val="0"/>
              <w:bidi w:val="0"/>
              <w:spacing w:line="460" w:lineRule="exact"/>
              <w:ind w:firstLine="480" w:firstLineChars="200"/>
              <w:jc w:val="left"/>
              <w:textAlignment w:val="auto"/>
              <w:rPr>
                <w:rFonts w:hint="eastAsia" w:ascii="仿宋" w:hAnsi="仿宋" w:eastAsia="仿宋" w:cs="仿宋"/>
              </w:rPr>
            </w:pPr>
            <w:r>
              <w:rPr>
                <w:rFonts w:hint="eastAsia" w:ascii="仿宋" w:hAnsi="仿宋" w:eastAsia="仿宋" w:cs="仿宋"/>
              </w:rPr>
              <w:t>日期：</w:t>
            </w:r>
          </w:p>
        </w:tc>
        <w:tc>
          <w:tcPr>
            <w:tcW w:w="4480" w:type="dxa"/>
            <w:tcBorders>
              <w:tl2br w:val="nil"/>
              <w:tr2bl w:val="nil"/>
            </w:tcBorders>
            <w:vAlign w:val="center"/>
          </w:tcPr>
          <w:p>
            <w:pPr>
              <w:pageBreakBefore w:val="0"/>
              <w:wordWrap/>
              <w:topLinePunct w:val="0"/>
              <w:bidi w:val="0"/>
              <w:spacing w:line="460" w:lineRule="exact"/>
              <w:ind w:firstLine="480" w:firstLineChars="200"/>
              <w:jc w:val="left"/>
              <w:textAlignment w:val="auto"/>
              <w:rPr>
                <w:rFonts w:hint="eastAsia" w:ascii="仿宋" w:hAnsi="仿宋" w:eastAsia="仿宋" w:cs="仿宋"/>
              </w:rPr>
            </w:pPr>
            <w:r>
              <w:rPr>
                <w:rFonts w:hint="eastAsia" w:ascii="仿宋" w:hAnsi="仿宋" w:eastAsia="仿宋" w:cs="仿宋"/>
              </w:rPr>
              <w:t>日期：</w:t>
            </w:r>
          </w:p>
        </w:tc>
      </w:tr>
    </w:tbl>
    <w:p>
      <w:pPr>
        <w:pageBreakBefore w:val="0"/>
        <w:tabs>
          <w:tab w:val="left" w:pos="1440"/>
        </w:tabs>
        <w:wordWrap/>
        <w:topLinePunct w:val="0"/>
        <w:bidi w:val="0"/>
        <w:snapToGrid w:val="0"/>
        <w:spacing w:line="460" w:lineRule="exact"/>
        <w:ind w:firstLine="480" w:firstLineChars="200"/>
        <w:textAlignment w:val="auto"/>
        <w:rPr>
          <w:rFonts w:hint="eastAsia" w:ascii="仿宋" w:hAnsi="仿宋" w:eastAsia="仿宋" w:cs="仿宋"/>
        </w:rPr>
      </w:pPr>
    </w:p>
    <w:p>
      <w:pPr>
        <w:pageBreakBefore w:val="0"/>
        <w:wordWrap/>
        <w:topLinePunct w:val="0"/>
        <w:bidi w:val="0"/>
        <w:spacing w:line="460" w:lineRule="exact"/>
        <w:ind w:firstLine="560" w:firstLineChars="200"/>
        <w:textAlignment w:val="auto"/>
        <w:rPr>
          <w:rFonts w:hint="eastAsia" w:ascii="仿宋_GB2312" w:hAnsi="仿宋_GB2312" w:eastAsia="仿宋_GB2312" w:cs="仿宋_GB2312"/>
          <w:color w:val="0F1115"/>
          <w:sz w:val="28"/>
          <w:szCs w:val="28"/>
          <w:shd w:val="clear" w:color="auto" w:fill="FFFFFF"/>
          <w:lang w:eastAsia="zh-CN"/>
        </w:rPr>
      </w:pPr>
    </w:p>
    <w:p>
      <w:pPr>
        <w:pStyle w:val="4"/>
        <w:pageBreakBefore w:val="0"/>
        <w:wordWrap/>
        <w:topLinePunct w:val="0"/>
        <w:bidi w:val="0"/>
        <w:spacing w:line="460" w:lineRule="exact"/>
        <w:ind w:firstLine="562" w:firstLineChars="200"/>
        <w:textAlignment w:val="auto"/>
        <w:rPr>
          <w:highlight w:val="yellow"/>
          <w:lang w:eastAsia="zh-CN"/>
        </w:rPr>
      </w:pPr>
      <w:r>
        <w:rPr>
          <w:rFonts w:hint="eastAsia"/>
          <w:highlight w:val="yellow"/>
          <w:lang w:eastAsia="zh-CN"/>
        </w:rPr>
        <w:t>附件：货物清单</w:t>
      </w:r>
    </w:p>
    <w:sectPr>
      <w:pgSz w:w="11906" w:h="16838"/>
      <w:pgMar w:top="1417" w:right="1417" w:bottom="1417" w:left="1417" w:header="720" w:footer="720" w:gutter="0"/>
      <w:pgNumType w:start="1"/>
      <w:cols w:space="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8"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ＭＳ ゴシック">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ourier">
    <w:altName w:val="Liberation Mono"/>
    <w:panose1 w:val="02070409020205020404"/>
    <w:charset w:val="00"/>
    <w:family w:val="auto"/>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ＭＳ 明朝">
    <w:altName w:val="仿宋_GB2312"/>
    <w:panose1 w:val="00000000000000000000"/>
    <w:charset w:val="00"/>
    <w:family w:val="auto"/>
    <w:pitch w:val="default"/>
    <w:sig w:usb0="00000000" w:usb1="00000000" w:usb2="00000000" w:usb3="00000000" w:csb0="0000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17803DA4"/>
    <w:multiLevelType w:val="multilevel"/>
    <w:tmpl w:val="17803DA4"/>
    <w:lvl w:ilvl="0" w:tentative="0">
      <w:start w:val="1"/>
      <w:numFmt w:val="decimal"/>
      <w:pStyle w:val="178"/>
      <w:lvlText w:val="（%1）"/>
      <w:lvlJc w:val="left"/>
      <w:pPr>
        <w:ind w:left="1080" w:hanging="1080"/>
      </w:pPr>
      <w:rPr>
        <w:rFonts w:hint="default"/>
      </w:rPr>
    </w:lvl>
    <w:lvl w:ilvl="1" w:tentative="0">
      <w:start w:val="1"/>
      <w:numFmt w:val="lowerLetter"/>
      <w:lvlText w:val="%2)"/>
      <w:lvlJc w:val="left"/>
      <w:pPr>
        <w:ind w:left="1625" w:hanging="420"/>
      </w:pPr>
    </w:lvl>
    <w:lvl w:ilvl="2" w:tentative="0">
      <w:start w:val="1"/>
      <w:numFmt w:val="lowerRoman"/>
      <w:lvlText w:val="%3."/>
      <w:lvlJc w:val="right"/>
      <w:pPr>
        <w:ind w:left="2045" w:hanging="420"/>
      </w:pPr>
    </w:lvl>
    <w:lvl w:ilvl="3" w:tentative="0">
      <w:start w:val="1"/>
      <w:numFmt w:val="decimal"/>
      <w:lvlText w:val="%4."/>
      <w:lvlJc w:val="left"/>
      <w:pPr>
        <w:ind w:left="2465" w:hanging="420"/>
      </w:pPr>
    </w:lvl>
    <w:lvl w:ilvl="4" w:tentative="0">
      <w:start w:val="1"/>
      <w:numFmt w:val="lowerLetter"/>
      <w:lvlText w:val="%5)"/>
      <w:lvlJc w:val="left"/>
      <w:pPr>
        <w:ind w:left="2885" w:hanging="420"/>
      </w:pPr>
    </w:lvl>
    <w:lvl w:ilvl="5" w:tentative="0">
      <w:start w:val="1"/>
      <w:numFmt w:val="lowerRoman"/>
      <w:lvlText w:val="%6."/>
      <w:lvlJc w:val="right"/>
      <w:pPr>
        <w:ind w:left="3305" w:hanging="420"/>
      </w:pPr>
    </w:lvl>
    <w:lvl w:ilvl="6" w:tentative="0">
      <w:start w:val="1"/>
      <w:numFmt w:val="decimal"/>
      <w:lvlText w:val="%7."/>
      <w:lvlJc w:val="left"/>
      <w:pPr>
        <w:ind w:left="3725" w:hanging="420"/>
      </w:pPr>
    </w:lvl>
    <w:lvl w:ilvl="7" w:tentative="0">
      <w:start w:val="1"/>
      <w:numFmt w:val="lowerLetter"/>
      <w:lvlText w:val="%8)"/>
      <w:lvlJc w:val="left"/>
      <w:pPr>
        <w:ind w:left="4145" w:hanging="420"/>
      </w:pPr>
    </w:lvl>
    <w:lvl w:ilvl="8" w:tentative="0">
      <w:start w:val="1"/>
      <w:numFmt w:val="lowerRoman"/>
      <w:lvlText w:val="%9."/>
      <w:lvlJc w:val="right"/>
      <w:pPr>
        <w:ind w:left="4565" w:hanging="420"/>
      </w:pPr>
    </w:lvl>
  </w:abstractNum>
  <w:abstractNum w:abstractNumId="7">
    <w:nsid w:val="18854F8C"/>
    <w:multiLevelType w:val="multilevel"/>
    <w:tmpl w:val="18854F8C"/>
    <w:lvl w:ilvl="0" w:tentative="0">
      <w:start w:val="1"/>
      <w:numFmt w:val="decimal"/>
      <w:lvlText w:val="%1."/>
      <w:lvlJc w:val="left"/>
      <w:pPr>
        <w:ind w:left="425" w:hanging="425"/>
      </w:pPr>
    </w:lvl>
    <w:lvl w:ilvl="1" w:tentative="0">
      <w:start w:val="1"/>
      <w:numFmt w:val="decimal"/>
      <w:lvlText w:val="%1.%2."/>
      <w:lvlJc w:val="left"/>
      <w:pPr>
        <w:ind w:left="567" w:hanging="567"/>
      </w:pPr>
      <w:rPr>
        <w:b w:val="0"/>
      </w:rPr>
    </w:lvl>
    <w:lvl w:ilvl="2" w:tentative="0">
      <w:start w:val="1"/>
      <w:numFmt w:val="decimal"/>
      <w:lvlText w:val="%1.%2.%3."/>
      <w:lvlJc w:val="left"/>
      <w:pPr>
        <w:ind w:left="709" w:hanging="709"/>
      </w:pPr>
      <w:rPr>
        <w:b w:val="0"/>
      </w:r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307E"/>
    <w:rsid w:val="000925CA"/>
    <w:rsid w:val="0015074B"/>
    <w:rsid w:val="002664C5"/>
    <w:rsid w:val="0029639D"/>
    <w:rsid w:val="00326F90"/>
    <w:rsid w:val="00374BBB"/>
    <w:rsid w:val="003B4051"/>
    <w:rsid w:val="0040728D"/>
    <w:rsid w:val="00451E47"/>
    <w:rsid w:val="00471EFC"/>
    <w:rsid w:val="00612F5D"/>
    <w:rsid w:val="00662D44"/>
    <w:rsid w:val="006874BB"/>
    <w:rsid w:val="007113BB"/>
    <w:rsid w:val="00752F40"/>
    <w:rsid w:val="007B3509"/>
    <w:rsid w:val="00875C1E"/>
    <w:rsid w:val="008E2ABE"/>
    <w:rsid w:val="009526E6"/>
    <w:rsid w:val="009D1CC0"/>
    <w:rsid w:val="009F54FB"/>
    <w:rsid w:val="00AA1D8D"/>
    <w:rsid w:val="00B47730"/>
    <w:rsid w:val="00CB0664"/>
    <w:rsid w:val="00E47D37"/>
    <w:rsid w:val="00EE7AB4"/>
    <w:rsid w:val="00FB63C4"/>
    <w:rsid w:val="00FC693F"/>
    <w:rsid w:val="04E40141"/>
    <w:rsid w:val="0B7618CA"/>
    <w:rsid w:val="0DC13821"/>
    <w:rsid w:val="11D930B6"/>
    <w:rsid w:val="14391796"/>
    <w:rsid w:val="171C5E57"/>
    <w:rsid w:val="1DFBF19A"/>
    <w:rsid w:val="1F5F019C"/>
    <w:rsid w:val="23221A11"/>
    <w:rsid w:val="27B75155"/>
    <w:rsid w:val="33FB5DEA"/>
    <w:rsid w:val="37CFD2A3"/>
    <w:rsid w:val="395A4645"/>
    <w:rsid w:val="3EDA6B0C"/>
    <w:rsid w:val="3FFF4329"/>
    <w:rsid w:val="4804405E"/>
    <w:rsid w:val="4A5D10BC"/>
    <w:rsid w:val="4DDFCF6F"/>
    <w:rsid w:val="53E421E6"/>
    <w:rsid w:val="56F685FF"/>
    <w:rsid w:val="58FA58CE"/>
    <w:rsid w:val="5BFC6F5F"/>
    <w:rsid w:val="5CE768A3"/>
    <w:rsid w:val="5D6EAE22"/>
    <w:rsid w:val="5E7F3D4C"/>
    <w:rsid w:val="5EF675F4"/>
    <w:rsid w:val="5F1D41BA"/>
    <w:rsid w:val="5F5908DF"/>
    <w:rsid w:val="65290C3F"/>
    <w:rsid w:val="6A526CDE"/>
    <w:rsid w:val="6DD5FB8C"/>
    <w:rsid w:val="6E7B2187"/>
    <w:rsid w:val="6F7DF9AB"/>
    <w:rsid w:val="6FB3BCD7"/>
    <w:rsid w:val="6FB781EF"/>
    <w:rsid w:val="71FC1B37"/>
    <w:rsid w:val="75BF3745"/>
    <w:rsid w:val="77A9ADF8"/>
    <w:rsid w:val="79B7A916"/>
    <w:rsid w:val="7AFDC214"/>
    <w:rsid w:val="7D1D3B52"/>
    <w:rsid w:val="7DCF7046"/>
    <w:rsid w:val="7DFD5C93"/>
    <w:rsid w:val="7F36D8A8"/>
    <w:rsid w:val="7FABDB5C"/>
    <w:rsid w:val="7FAE1153"/>
    <w:rsid w:val="7FBA7AB1"/>
    <w:rsid w:val="7FBF0013"/>
    <w:rsid w:val="7FDBD3A4"/>
    <w:rsid w:val="7FFF8113"/>
    <w:rsid w:val="7FFFFA34"/>
    <w:rsid w:val="9EF3A11C"/>
    <w:rsid w:val="B8FF1920"/>
    <w:rsid w:val="BC7313B8"/>
    <w:rsid w:val="BDBD602C"/>
    <w:rsid w:val="BDEBF2E7"/>
    <w:rsid w:val="BFEF47F0"/>
    <w:rsid w:val="CD9704AB"/>
    <w:rsid w:val="D4FB8ADC"/>
    <w:rsid w:val="DD5F3597"/>
    <w:rsid w:val="DED7080E"/>
    <w:rsid w:val="E6CEBE7C"/>
    <w:rsid w:val="E77FC28A"/>
    <w:rsid w:val="E7EF51D9"/>
    <w:rsid w:val="E963804C"/>
    <w:rsid w:val="EBBE7048"/>
    <w:rsid w:val="EBFB8409"/>
    <w:rsid w:val="ED6E2A5B"/>
    <w:rsid w:val="EEDAA303"/>
    <w:rsid w:val="EFEA4B64"/>
    <w:rsid w:val="EFFDDF12"/>
    <w:rsid w:val="EFFED333"/>
    <w:rsid w:val="F3FB2BD8"/>
    <w:rsid w:val="F56F35B3"/>
    <w:rsid w:val="F5FBF597"/>
    <w:rsid w:val="F872ADC6"/>
    <w:rsid w:val="F8FB632B"/>
    <w:rsid w:val="F9FFBA88"/>
    <w:rsid w:val="FBF96FFE"/>
    <w:rsid w:val="FBFFED65"/>
    <w:rsid w:val="FDBC196F"/>
    <w:rsid w:val="FDFB18F8"/>
    <w:rsid w:val="FEB12DE4"/>
    <w:rsid w:val="FFBF6479"/>
    <w:rsid w:val="FFFBDAA7"/>
    <w:rsid w:val="FFFFC7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line="360" w:lineRule="auto"/>
      <w:jc w:val="both"/>
    </w:pPr>
    <w:rPr>
      <w:rFonts w:ascii="Arial" w:hAnsi="Arial" w:eastAsia="宋体" w:cstheme="minorBidi"/>
      <w:sz w:val="24"/>
      <w:szCs w:val="22"/>
      <w:lang w:val="en-US" w:eastAsia="en-US" w:bidi="ar-SA"/>
    </w:rPr>
  </w:style>
  <w:style w:type="paragraph" w:styleId="3">
    <w:name w:val="heading 1"/>
    <w:basedOn w:val="1"/>
    <w:next w:val="1"/>
    <w:link w:val="148"/>
    <w:qFormat/>
    <w:uiPriority w:val="9"/>
    <w:pPr>
      <w:keepNext/>
      <w:keepLines/>
      <w:spacing w:before="280" w:after="120" w:line="312" w:lineRule="auto"/>
      <w:jc w:val="left"/>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9"/>
    <w:unhideWhenUsed/>
    <w:qFormat/>
    <w:uiPriority w:val="9"/>
    <w:pPr>
      <w:keepNext/>
      <w:keepLines/>
      <w:spacing w:before="220" w:after="100" w:line="312" w:lineRule="auto"/>
      <w:jc w:val="left"/>
      <w:outlineLvl w:val="1"/>
    </w:pPr>
    <w:rPr>
      <w:rFonts w:asciiTheme="majorHAnsi" w:hAnsiTheme="majorHAnsi" w:eastAsiaTheme="majorEastAsia" w:cstheme="majorBidi"/>
      <w:b/>
      <w:bCs/>
      <w:color w:val="000000"/>
      <w:sz w:val="28"/>
      <w:szCs w:val="26"/>
    </w:rPr>
  </w:style>
  <w:style w:type="paragraph" w:styleId="5">
    <w:name w:val="heading 3"/>
    <w:basedOn w:val="1"/>
    <w:next w:val="1"/>
    <w:link w:val="150"/>
    <w:unhideWhenUsed/>
    <w:qFormat/>
    <w:uiPriority w:val="9"/>
    <w:pPr>
      <w:keepNext/>
      <w:keepLines/>
      <w:spacing w:before="180" w:after="80" w:line="312" w:lineRule="auto"/>
      <w:jc w:val="left"/>
      <w:outlineLvl w:val="2"/>
    </w:pPr>
    <w:rPr>
      <w:rFonts w:asciiTheme="majorHAnsi" w:hAnsiTheme="majorHAnsi" w:eastAsiaTheme="majorEastAsia" w:cstheme="majorBidi"/>
      <w:b/>
      <w:bCs/>
      <w:color w:val="000000"/>
    </w:rPr>
  </w:style>
  <w:style w:type="paragraph" w:styleId="6">
    <w:name w:val="heading 4"/>
    <w:basedOn w:val="1"/>
    <w:next w:val="1"/>
    <w:link w:val="160"/>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6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6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6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40">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macro"/>
    <w:link w:val="15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74"/>
    <w:semiHidden/>
    <w:unhideWhenUsed/>
    <w:qFormat/>
    <w:uiPriority w:val="99"/>
    <w:pPr>
      <w:jc w:val="left"/>
    </w:pPr>
  </w:style>
  <w:style w:type="paragraph" w:styleId="18">
    <w:name w:val="Body Text 3"/>
    <w:basedOn w:val="1"/>
    <w:link w:val="156"/>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next w:val="21"/>
    <w:link w:val="154"/>
    <w:unhideWhenUsed/>
    <w:qFormat/>
    <w:uiPriority w:val="99"/>
    <w:pPr>
      <w:spacing w:after="120"/>
    </w:pPr>
  </w:style>
  <w:style w:type="paragraph" w:styleId="21">
    <w:name w:val="Body Text First Indent"/>
    <w:basedOn w:val="20"/>
    <w:qFormat/>
    <w:uiPriority w:val="99"/>
    <w:pPr>
      <w:ind w:firstLine="420" w:firstLineChars="100"/>
    </w:pPr>
    <w:rPr>
      <w:sz w:val="20"/>
      <w:szCs w:val="20"/>
    </w:r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Balloon Text"/>
    <w:basedOn w:val="1"/>
    <w:link w:val="176"/>
    <w:semiHidden/>
    <w:unhideWhenUsed/>
    <w:qFormat/>
    <w:uiPriority w:val="99"/>
    <w:pPr>
      <w:spacing w:line="240" w:lineRule="auto"/>
    </w:pPr>
    <w:rPr>
      <w:sz w:val="18"/>
      <w:szCs w:val="18"/>
    </w:rPr>
  </w:style>
  <w:style w:type="paragraph" w:styleId="27">
    <w:name w:val="footer"/>
    <w:basedOn w:val="1"/>
    <w:link w:val="146"/>
    <w:unhideWhenUsed/>
    <w:qFormat/>
    <w:uiPriority w:val="99"/>
    <w:pPr>
      <w:tabs>
        <w:tab w:val="center" w:pos="4680"/>
        <w:tab w:val="right" w:pos="9360"/>
      </w:tabs>
      <w:spacing w:line="240" w:lineRule="auto"/>
    </w:pPr>
  </w:style>
  <w:style w:type="paragraph" w:styleId="28">
    <w:name w:val="header"/>
    <w:basedOn w:val="1"/>
    <w:link w:val="145"/>
    <w:unhideWhenUsed/>
    <w:qFormat/>
    <w:uiPriority w:val="99"/>
    <w:pPr>
      <w:tabs>
        <w:tab w:val="center" w:pos="4680"/>
        <w:tab w:val="right" w:pos="9360"/>
      </w:tabs>
      <w:spacing w:line="240" w:lineRule="auto"/>
    </w:pPr>
  </w:style>
  <w:style w:type="paragraph" w:styleId="29">
    <w:name w:val="toc 1"/>
    <w:basedOn w:val="1"/>
    <w:next w:val="1"/>
    <w:unhideWhenUsed/>
    <w:qFormat/>
    <w:uiPriority w:val="39"/>
  </w:style>
  <w:style w:type="paragraph" w:styleId="30">
    <w:name w:val="Subtitle"/>
    <w:basedOn w:val="1"/>
    <w:next w:val="1"/>
    <w:link w:val="15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31">
    <w:name w:val="List"/>
    <w:basedOn w:val="1"/>
    <w:unhideWhenUsed/>
    <w:qFormat/>
    <w:uiPriority w:val="99"/>
    <w:pPr>
      <w:ind w:left="360" w:hanging="360"/>
      <w:contextualSpacing/>
    </w:pPr>
  </w:style>
  <w:style w:type="paragraph" w:styleId="32">
    <w:name w:val="toc 2"/>
    <w:basedOn w:val="1"/>
    <w:next w:val="1"/>
    <w:unhideWhenUsed/>
    <w:qFormat/>
    <w:uiPriority w:val="39"/>
    <w:pPr>
      <w:ind w:left="420" w:leftChars="200"/>
    </w:pPr>
  </w:style>
  <w:style w:type="paragraph" w:styleId="33">
    <w:name w:val="Body Text 2"/>
    <w:basedOn w:val="1"/>
    <w:link w:val="155"/>
    <w:unhideWhenUsed/>
    <w:qFormat/>
    <w:uiPriority w:val="99"/>
    <w:pPr>
      <w:spacing w:after="120" w:line="480" w:lineRule="auto"/>
    </w:pPr>
  </w:style>
  <w:style w:type="paragraph" w:styleId="34">
    <w:name w:val="List Continue 2"/>
    <w:basedOn w:val="1"/>
    <w:unhideWhenUsed/>
    <w:qFormat/>
    <w:uiPriority w:val="99"/>
    <w:pPr>
      <w:spacing w:after="120"/>
      <w:ind w:left="720"/>
      <w:contextualSpacing/>
    </w:pPr>
  </w:style>
  <w:style w:type="paragraph" w:styleId="3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szCs w:val="24"/>
      <w:lang w:eastAsia="zh-CN"/>
    </w:rPr>
  </w:style>
  <w:style w:type="paragraph" w:styleId="36">
    <w:name w:val="Normal (Web)"/>
    <w:basedOn w:val="1"/>
    <w:qFormat/>
    <w:uiPriority w:val="0"/>
  </w:style>
  <w:style w:type="paragraph" w:styleId="37">
    <w:name w:val="List Continue 3"/>
    <w:basedOn w:val="1"/>
    <w:unhideWhenUsed/>
    <w:qFormat/>
    <w:uiPriority w:val="99"/>
    <w:pPr>
      <w:spacing w:after="120"/>
      <w:ind w:left="1080"/>
      <w:contextualSpacing/>
    </w:pPr>
  </w:style>
  <w:style w:type="paragraph" w:styleId="38">
    <w:name w:val="Title"/>
    <w:basedOn w:val="1"/>
    <w:next w:val="1"/>
    <w:link w:val="15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9">
    <w:name w:val="annotation subject"/>
    <w:basedOn w:val="17"/>
    <w:next w:val="17"/>
    <w:link w:val="175"/>
    <w:semiHidden/>
    <w:unhideWhenUsed/>
    <w:qFormat/>
    <w:uiPriority w:val="99"/>
    <w:rPr>
      <w:b/>
      <w:bCs/>
    </w:rPr>
  </w:style>
  <w:style w:type="table" w:styleId="41">
    <w:name w:val="Table Grid"/>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2">
    <w:name w:val="Light Shading"/>
    <w:basedOn w:val="40"/>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3">
    <w:name w:val="Light Shading Accent 1"/>
    <w:basedOn w:val="40"/>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4">
    <w:name w:val="Light Shading Accent 2"/>
    <w:basedOn w:val="40"/>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5">
    <w:name w:val="Light Shading Accent 3"/>
    <w:basedOn w:val="40"/>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6">
    <w:name w:val="Light Shading Accent 4"/>
    <w:basedOn w:val="40"/>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7">
    <w:name w:val="Light Shading Accent 5"/>
    <w:basedOn w:val="40"/>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8">
    <w:name w:val="Light Shading Accent 6"/>
    <w:basedOn w:val="40"/>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9">
    <w:name w:val="Light List"/>
    <w:basedOn w:val="40"/>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0">
    <w:name w:val="Light List Accent 1"/>
    <w:basedOn w:val="40"/>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1">
    <w:name w:val="Light List Accent 2"/>
    <w:basedOn w:val="40"/>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2">
    <w:name w:val="Light List Accent 3"/>
    <w:basedOn w:val="40"/>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3">
    <w:name w:val="Light List Accent 4"/>
    <w:basedOn w:val="40"/>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4">
    <w:name w:val="Light List Accent 5"/>
    <w:basedOn w:val="40"/>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5">
    <w:name w:val="Light List Accent 6"/>
    <w:basedOn w:val="40"/>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6">
    <w:name w:val="Light Grid"/>
    <w:basedOn w:val="40"/>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7">
    <w:name w:val="Light Grid Accent 1"/>
    <w:basedOn w:val="40"/>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8">
    <w:name w:val="Light Grid Accent 2"/>
    <w:basedOn w:val="40"/>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9">
    <w:name w:val="Light Grid Accent 3"/>
    <w:basedOn w:val="40"/>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0">
    <w:name w:val="Light Grid Accent 4"/>
    <w:basedOn w:val="40"/>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1">
    <w:name w:val="Light Grid Accent 5"/>
    <w:basedOn w:val="40"/>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2">
    <w:name w:val="Light Grid Accent 6"/>
    <w:basedOn w:val="40"/>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3">
    <w:name w:val="Medium Shading 1"/>
    <w:basedOn w:val="40"/>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4">
    <w:name w:val="Medium Shading 1 Accent 1"/>
    <w:basedOn w:val="40"/>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5">
    <w:name w:val="Medium Shading 1 Accent 2"/>
    <w:basedOn w:val="40"/>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6">
    <w:name w:val="Medium Shading 1 Accent 3"/>
    <w:basedOn w:val="40"/>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7">
    <w:name w:val="Medium Shading 1 Accent 4"/>
    <w:basedOn w:val="40"/>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8">
    <w:name w:val="Medium Shading 1 Accent 5"/>
    <w:basedOn w:val="40"/>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9">
    <w:name w:val="Medium Shading 1 Accent 6"/>
    <w:basedOn w:val="40"/>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0">
    <w:name w:val="Medium Shading 2"/>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1"/>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2"/>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3"/>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4"/>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5"/>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6"/>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List 1"/>
    <w:basedOn w:val="40"/>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8">
    <w:name w:val="Medium List 1 Accent 1"/>
    <w:basedOn w:val="40"/>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9">
    <w:name w:val="Medium List 1 Accent 2"/>
    <w:basedOn w:val="40"/>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0">
    <w:name w:val="Medium List 1 Accent 3"/>
    <w:basedOn w:val="40"/>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1">
    <w:name w:val="Medium List 1 Accent 4"/>
    <w:basedOn w:val="40"/>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2">
    <w:name w:val="Medium List 1 Accent 5"/>
    <w:basedOn w:val="40"/>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3">
    <w:name w:val="Medium List 1 Accent 6"/>
    <w:basedOn w:val="40"/>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4">
    <w:name w:val="Medium List 2"/>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1"/>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2"/>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3"/>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4"/>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5"/>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6"/>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Grid 1"/>
    <w:basedOn w:val="40"/>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2">
    <w:name w:val="Medium Grid 1 Accent 1"/>
    <w:basedOn w:val="40"/>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3">
    <w:name w:val="Medium Grid 1 Accent 2"/>
    <w:basedOn w:val="40"/>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4">
    <w:name w:val="Medium Grid 1 Accent 3"/>
    <w:basedOn w:val="40"/>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5">
    <w:name w:val="Medium Grid 1 Accent 4"/>
    <w:basedOn w:val="40"/>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6">
    <w:name w:val="Medium Grid 1 Accent 5"/>
    <w:basedOn w:val="40"/>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7">
    <w:name w:val="Medium Grid 1 Accent 6"/>
    <w:basedOn w:val="40"/>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8">
    <w:name w:val="Medium Grid 2"/>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9">
    <w:name w:val="Medium Grid 2 Accent 1"/>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0">
    <w:name w:val="Medium Grid 2 Accent 2"/>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1">
    <w:name w:val="Medium Grid 2 Accent 3"/>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2">
    <w:name w:val="Medium Grid 2 Accent 4"/>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3">
    <w:name w:val="Medium Grid 2 Accent 5"/>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4">
    <w:name w:val="Medium Grid 2 Accent 6"/>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5">
    <w:name w:val="Medium Grid 3"/>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6">
    <w:name w:val="Medium Grid 3 Accent 1"/>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7">
    <w:name w:val="Medium Grid 3 Accent 2"/>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8">
    <w:name w:val="Medium Grid 3 Accent 3"/>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9">
    <w:name w:val="Medium Grid 3 Accent 4"/>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0">
    <w:name w:val="Medium Grid 3 Accent 5"/>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1">
    <w:name w:val="Medium Grid 3 Accent 6"/>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2">
    <w:name w:val="Dark List"/>
    <w:basedOn w:val="40"/>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3">
    <w:name w:val="Dark List Accent 1"/>
    <w:basedOn w:val="40"/>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4">
    <w:name w:val="Dark List Accent 2"/>
    <w:basedOn w:val="40"/>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5">
    <w:name w:val="Dark List Accent 3"/>
    <w:basedOn w:val="40"/>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6">
    <w:name w:val="Dark List Accent 4"/>
    <w:basedOn w:val="40"/>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7">
    <w:name w:val="Dark List Accent 5"/>
    <w:basedOn w:val="40"/>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8">
    <w:name w:val="Dark List Accent 6"/>
    <w:basedOn w:val="40"/>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9">
    <w:name w:val="Colorful Shading"/>
    <w:basedOn w:val="40"/>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1"/>
    <w:basedOn w:val="40"/>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2"/>
    <w:basedOn w:val="40"/>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3"/>
    <w:basedOn w:val="40"/>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3">
    <w:name w:val="Colorful Shading Accent 4"/>
    <w:basedOn w:val="40"/>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5"/>
    <w:basedOn w:val="40"/>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6"/>
    <w:basedOn w:val="40"/>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List"/>
    <w:basedOn w:val="40"/>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7">
    <w:name w:val="Colorful List Accent 1"/>
    <w:basedOn w:val="40"/>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8">
    <w:name w:val="Colorful List Accent 2"/>
    <w:basedOn w:val="40"/>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9">
    <w:name w:val="Colorful List Accent 3"/>
    <w:basedOn w:val="40"/>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0">
    <w:name w:val="Colorful List Accent 4"/>
    <w:basedOn w:val="40"/>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1">
    <w:name w:val="Colorful List Accent 5"/>
    <w:basedOn w:val="40"/>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2">
    <w:name w:val="Colorful List Accent 6"/>
    <w:basedOn w:val="40"/>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3">
    <w:name w:val="Colorful Grid"/>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4">
    <w:name w:val="Colorful Grid Accent 1"/>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5">
    <w:name w:val="Colorful Grid Accent 2"/>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6">
    <w:name w:val="Colorful Grid Accent 3"/>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7">
    <w:name w:val="Colorful Grid Accent 4"/>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8">
    <w:name w:val="Colorful Grid Accent 5"/>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9">
    <w:name w:val="Colorful Grid Accent 6"/>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1">
    <w:name w:val="Strong"/>
    <w:basedOn w:val="140"/>
    <w:qFormat/>
    <w:uiPriority w:val="22"/>
    <w:rPr>
      <w:b/>
      <w:bCs/>
    </w:rPr>
  </w:style>
  <w:style w:type="character" w:styleId="142">
    <w:name w:val="Emphasis"/>
    <w:basedOn w:val="140"/>
    <w:qFormat/>
    <w:uiPriority w:val="20"/>
    <w:rPr>
      <w:i/>
      <w:iCs/>
    </w:rPr>
  </w:style>
  <w:style w:type="character" w:styleId="143">
    <w:name w:val="Hyperlink"/>
    <w:basedOn w:val="140"/>
    <w:unhideWhenUsed/>
    <w:qFormat/>
    <w:uiPriority w:val="99"/>
    <w:rPr>
      <w:color w:val="0000FF" w:themeColor="hyperlink"/>
      <w:u w:val="single"/>
      <w14:textFill>
        <w14:solidFill>
          <w14:schemeClr w14:val="hlink"/>
        </w14:solidFill>
      </w14:textFill>
    </w:rPr>
  </w:style>
  <w:style w:type="character" w:styleId="144">
    <w:name w:val="annotation reference"/>
    <w:basedOn w:val="140"/>
    <w:semiHidden/>
    <w:unhideWhenUsed/>
    <w:qFormat/>
    <w:uiPriority w:val="99"/>
    <w:rPr>
      <w:sz w:val="21"/>
      <w:szCs w:val="21"/>
    </w:rPr>
  </w:style>
  <w:style w:type="character" w:customStyle="1" w:styleId="145">
    <w:name w:val="页眉 字符"/>
    <w:basedOn w:val="140"/>
    <w:link w:val="28"/>
    <w:qFormat/>
    <w:uiPriority w:val="99"/>
  </w:style>
  <w:style w:type="character" w:customStyle="1" w:styleId="146">
    <w:name w:val="页脚 字符"/>
    <w:basedOn w:val="140"/>
    <w:link w:val="27"/>
    <w:qFormat/>
    <w:uiPriority w:val="99"/>
  </w:style>
  <w:style w:type="paragraph" w:styleId="147">
    <w:name w:val="No Spacing"/>
    <w:qFormat/>
    <w:uiPriority w:val="1"/>
    <w:rPr>
      <w:rFonts w:asciiTheme="minorHAnsi" w:hAnsiTheme="minorHAnsi" w:eastAsiaTheme="minorEastAsia" w:cstheme="minorBidi"/>
      <w:sz w:val="22"/>
      <w:szCs w:val="22"/>
      <w:lang w:val="en-US" w:eastAsia="en-US" w:bidi="ar-SA"/>
    </w:rPr>
  </w:style>
  <w:style w:type="character" w:customStyle="1" w:styleId="148">
    <w:name w:val="标题 1 字符"/>
    <w:basedOn w:val="140"/>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9">
    <w:name w:val="标题 2 字符"/>
    <w:basedOn w:val="140"/>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0">
    <w:name w:val="标题 3 字符"/>
    <w:basedOn w:val="140"/>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51">
    <w:name w:val="标题 字符"/>
    <w:basedOn w:val="140"/>
    <w:link w:val="38"/>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2">
    <w:name w:val="副标题 字符"/>
    <w:basedOn w:val="140"/>
    <w:link w:val="3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3">
    <w:name w:val="List Paragraph"/>
    <w:basedOn w:val="1"/>
    <w:qFormat/>
    <w:uiPriority w:val="34"/>
    <w:pPr>
      <w:ind w:left="720"/>
      <w:contextualSpacing/>
    </w:pPr>
  </w:style>
  <w:style w:type="character" w:customStyle="1" w:styleId="154">
    <w:name w:val="正文文本 字符"/>
    <w:basedOn w:val="140"/>
    <w:link w:val="20"/>
    <w:qFormat/>
    <w:uiPriority w:val="99"/>
  </w:style>
  <w:style w:type="character" w:customStyle="1" w:styleId="155">
    <w:name w:val="正文文本 2 字符"/>
    <w:basedOn w:val="140"/>
    <w:link w:val="33"/>
    <w:qFormat/>
    <w:uiPriority w:val="99"/>
  </w:style>
  <w:style w:type="character" w:customStyle="1" w:styleId="156">
    <w:name w:val="正文文本 3 字符"/>
    <w:basedOn w:val="140"/>
    <w:link w:val="18"/>
    <w:qFormat/>
    <w:uiPriority w:val="99"/>
    <w:rPr>
      <w:sz w:val="16"/>
      <w:szCs w:val="16"/>
    </w:rPr>
  </w:style>
  <w:style w:type="character" w:customStyle="1" w:styleId="157">
    <w:name w:val="宏文本 字符"/>
    <w:basedOn w:val="140"/>
    <w:link w:val="2"/>
    <w:qFormat/>
    <w:uiPriority w:val="99"/>
    <w:rPr>
      <w:rFonts w:ascii="Courier" w:hAnsi="Courier"/>
      <w:sz w:val="20"/>
      <w:szCs w:val="20"/>
    </w:rPr>
  </w:style>
  <w:style w:type="paragraph" w:styleId="158">
    <w:name w:val="Quote"/>
    <w:basedOn w:val="1"/>
    <w:next w:val="1"/>
    <w:link w:val="159"/>
    <w:qFormat/>
    <w:uiPriority w:val="29"/>
    <w:rPr>
      <w:i/>
      <w:iCs/>
      <w:color w:val="000000" w:themeColor="text1"/>
      <w14:textFill>
        <w14:solidFill>
          <w14:schemeClr w14:val="tx1"/>
        </w14:solidFill>
      </w14:textFill>
    </w:rPr>
  </w:style>
  <w:style w:type="character" w:customStyle="1" w:styleId="159">
    <w:name w:val="引用 字符"/>
    <w:basedOn w:val="140"/>
    <w:link w:val="158"/>
    <w:qFormat/>
    <w:uiPriority w:val="29"/>
    <w:rPr>
      <w:i/>
      <w:iCs/>
      <w:color w:val="000000" w:themeColor="text1"/>
      <w14:textFill>
        <w14:solidFill>
          <w14:schemeClr w14:val="tx1"/>
        </w14:solidFill>
      </w14:textFill>
    </w:rPr>
  </w:style>
  <w:style w:type="character" w:customStyle="1" w:styleId="160">
    <w:name w:val="标题 4 字符"/>
    <w:basedOn w:val="140"/>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61">
    <w:name w:val="标题 5 字符"/>
    <w:basedOn w:val="140"/>
    <w:link w:val="7"/>
    <w:semiHidden/>
    <w:qFormat/>
    <w:uiPriority w:val="9"/>
    <w:rPr>
      <w:rFonts w:asciiTheme="majorHAnsi" w:hAnsiTheme="majorHAnsi" w:eastAsiaTheme="majorEastAsia" w:cstheme="majorBidi"/>
      <w:color w:val="254061" w:themeColor="accent1" w:themeShade="80"/>
    </w:rPr>
  </w:style>
  <w:style w:type="character" w:customStyle="1" w:styleId="162">
    <w:name w:val="标题 6 字符"/>
    <w:basedOn w:val="140"/>
    <w:link w:val="8"/>
    <w:semiHidden/>
    <w:qFormat/>
    <w:uiPriority w:val="9"/>
    <w:rPr>
      <w:rFonts w:asciiTheme="majorHAnsi" w:hAnsiTheme="majorHAnsi" w:eastAsiaTheme="majorEastAsia" w:cstheme="majorBidi"/>
      <w:i/>
      <w:iCs/>
      <w:color w:val="254061" w:themeColor="accent1" w:themeShade="80"/>
    </w:rPr>
  </w:style>
  <w:style w:type="character" w:customStyle="1" w:styleId="163">
    <w:name w:val="标题 7 字符"/>
    <w:basedOn w:val="140"/>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4">
    <w:name w:val="标题 8 字符"/>
    <w:basedOn w:val="140"/>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5">
    <w:name w:val="标题 9 字符"/>
    <w:basedOn w:val="140"/>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6">
    <w:name w:val="Intense Quote"/>
    <w:basedOn w:val="1"/>
    <w:next w:val="1"/>
    <w:link w:val="16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7">
    <w:name w:val="明显引用 字符"/>
    <w:basedOn w:val="140"/>
    <w:link w:val="166"/>
    <w:qFormat/>
    <w:uiPriority w:val="30"/>
    <w:rPr>
      <w:b/>
      <w:bCs/>
      <w:i/>
      <w:iCs/>
      <w:color w:val="4F81BD" w:themeColor="accent1"/>
      <w14:textFill>
        <w14:solidFill>
          <w14:schemeClr w14:val="accent1"/>
        </w14:solidFill>
      </w14:textFill>
    </w:rPr>
  </w:style>
  <w:style w:type="character" w:customStyle="1" w:styleId="168">
    <w:name w:val="不明显强调1"/>
    <w:basedOn w:val="140"/>
    <w:qFormat/>
    <w:uiPriority w:val="19"/>
    <w:rPr>
      <w:i/>
      <w:iCs/>
      <w:color w:val="808080" w:themeColor="text1" w:themeTint="80"/>
      <w14:textFill>
        <w14:solidFill>
          <w14:schemeClr w14:val="tx1">
            <w14:lumMod w14:val="50000"/>
            <w14:lumOff w14:val="50000"/>
          </w14:schemeClr>
        </w14:solidFill>
      </w14:textFill>
    </w:rPr>
  </w:style>
  <w:style w:type="character" w:customStyle="1" w:styleId="169">
    <w:name w:val="明显强调1"/>
    <w:basedOn w:val="140"/>
    <w:qFormat/>
    <w:uiPriority w:val="21"/>
    <w:rPr>
      <w:b/>
      <w:bCs/>
      <w:i/>
      <w:iCs/>
      <w:color w:val="4F81BD" w:themeColor="accent1"/>
      <w14:textFill>
        <w14:solidFill>
          <w14:schemeClr w14:val="accent1"/>
        </w14:solidFill>
      </w14:textFill>
    </w:rPr>
  </w:style>
  <w:style w:type="character" w:customStyle="1" w:styleId="170">
    <w:name w:val="不明显参考1"/>
    <w:basedOn w:val="140"/>
    <w:qFormat/>
    <w:uiPriority w:val="31"/>
    <w:rPr>
      <w:smallCaps/>
      <w:color w:val="C0504D" w:themeColor="accent2"/>
      <w:u w:val="single"/>
      <w14:textFill>
        <w14:solidFill>
          <w14:schemeClr w14:val="accent2"/>
        </w14:solidFill>
      </w14:textFill>
    </w:rPr>
  </w:style>
  <w:style w:type="character" w:customStyle="1" w:styleId="171">
    <w:name w:val="明显参考1"/>
    <w:basedOn w:val="140"/>
    <w:qFormat/>
    <w:uiPriority w:val="32"/>
    <w:rPr>
      <w:b/>
      <w:bCs/>
      <w:smallCaps/>
      <w:color w:val="C0504D" w:themeColor="accent2"/>
      <w:spacing w:val="5"/>
      <w:u w:val="single"/>
      <w14:textFill>
        <w14:solidFill>
          <w14:schemeClr w14:val="accent2"/>
        </w14:solidFill>
      </w14:textFill>
    </w:rPr>
  </w:style>
  <w:style w:type="character" w:customStyle="1" w:styleId="172">
    <w:name w:val="书籍标题1"/>
    <w:basedOn w:val="140"/>
    <w:qFormat/>
    <w:uiPriority w:val="33"/>
    <w:rPr>
      <w:b/>
      <w:bCs/>
      <w:smallCaps/>
      <w:spacing w:val="5"/>
    </w:rPr>
  </w:style>
  <w:style w:type="paragraph" w:customStyle="1" w:styleId="173">
    <w:name w:val="TOC 标题1"/>
    <w:basedOn w:val="3"/>
    <w:next w:val="1"/>
    <w:semiHidden/>
    <w:unhideWhenUsed/>
    <w:qFormat/>
    <w:uiPriority w:val="39"/>
    <w:pPr>
      <w:outlineLvl w:val="9"/>
    </w:pPr>
  </w:style>
  <w:style w:type="character" w:customStyle="1" w:styleId="174">
    <w:name w:val="批注文字 字符"/>
    <w:basedOn w:val="140"/>
    <w:link w:val="17"/>
    <w:semiHidden/>
    <w:qFormat/>
    <w:uiPriority w:val="99"/>
    <w:rPr>
      <w:rFonts w:ascii="Arial" w:hAnsi="Arial" w:eastAsia="宋体"/>
      <w:sz w:val="24"/>
    </w:rPr>
  </w:style>
  <w:style w:type="character" w:customStyle="1" w:styleId="175">
    <w:name w:val="批注主题 字符"/>
    <w:basedOn w:val="174"/>
    <w:link w:val="39"/>
    <w:semiHidden/>
    <w:qFormat/>
    <w:uiPriority w:val="99"/>
    <w:rPr>
      <w:rFonts w:ascii="Arial" w:hAnsi="Arial" w:eastAsia="宋体"/>
      <w:b/>
      <w:bCs/>
      <w:sz w:val="24"/>
    </w:rPr>
  </w:style>
  <w:style w:type="character" w:customStyle="1" w:styleId="176">
    <w:name w:val="批注框文本 字符"/>
    <w:basedOn w:val="140"/>
    <w:link w:val="26"/>
    <w:semiHidden/>
    <w:qFormat/>
    <w:uiPriority w:val="99"/>
    <w:rPr>
      <w:rFonts w:ascii="Arial" w:hAnsi="Arial" w:eastAsia="宋体"/>
      <w:sz w:val="18"/>
      <w:szCs w:val="18"/>
    </w:rPr>
  </w:style>
  <w:style w:type="paragraph" w:customStyle="1" w:styleId="17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8">
    <w:name w:val="列出段落1"/>
    <w:basedOn w:val="1"/>
    <w:qFormat/>
    <w:uiPriority w:val="34"/>
    <w:pPr>
      <w:numPr>
        <w:ilvl w:val="0"/>
        <w:numId w:val="7"/>
      </w:numPr>
      <w:spacing w:line="300" w:lineRule="auto"/>
      <w:jc w:val="left"/>
    </w:pPr>
  </w:style>
  <w:style w:type="paragraph" w:customStyle="1" w:styleId="179">
    <w:name w:val="表格文字"/>
    <w:basedOn w:val="1"/>
    <w:next w:val="20"/>
    <w:qFormat/>
    <w:uiPriority w:val="0"/>
    <w:pPr>
      <w:snapToGrid w:val="0"/>
      <w:spacing w:before="120"/>
    </w:pPr>
    <w:rPr>
      <w:szCs w:val="20"/>
      <w:lang w:bidi="he-IL"/>
    </w:rPr>
  </w:style>
  <w:style w:type="paragraph" w:customStyle="1" w:styleId="180">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8</Pages>
  <Words>2011</Words>
  <Characters>2257</Characters>
  <Lines>37</Lines>
  <Paragraphs>10</Paragraphs>
  <TotalTime>1</TotalTime>
  <ScaleCrop>false</ScaleCrop>
  <LinksUpToDate>false</LinksUpToDate>
  <CharactersWithSpaces>2261</CharactersWithSpaces>
  <Application>WPS Office_11.8.2.11717_F1E327BC-269C-435d-A152-05C5408002CA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2026-09-09T00:26:00Z</dcterms:created>
  <dc:creator>python-docx</dc:creator>
  <dc:description>generated by python-docx</dc:description>
  <cp:lastModifiedBy>user</cp:lastModifiedBy>
  <dcterms:modified xsi:type="dcterms:W3CDTF">2026-10-30T09:51:55Z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eyJoZGlkIjoiNDQzMDdlZTExNTRhZmYwZmJlMThlYTRlNDY4NzYyNjMiLCJ1c2VySWQiOiIxMjQ3NTY4MjIyIn0=</vt:lpwstr>
  </property>
  <property fmtid="{D5CDD505-2E9C-101B-9397-08002B2CF9AE}" pid="3" name="KSOProductBuildVer">
    <vt:lpwstr>2052-11.8.2.11717</vt:lpwstr>
  </property>
  <property fmtid="{D5CDD505-2E9C-101B-9397-08002B2CF9AE}" pid="4" name="ICV">
    <vt:lpwstr>73C8041B526B06D309C8E26AE736D8A6_43</vt:lpwstr>
  </property>
</Properties>
</file>